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60" w:lineRule="exact"/>
        <w:jc w:val="center"/>
        <w:rPr>
          <w:rFonts w:ascii="方正大标宋简体" w:eastAsia="方正大标宋简体"/>
          <w:color w:val="FF0000"/>
          <w:spacing w:val="-28"/>
          <w:w w:val="50"/>
          <w:sz w:val="190"/>
          <w:szCs w:val="190"/>
        </w:rPr>
      </w:pPr>
      <w:r>
        <mc:AlternateContent>
          <mc:Choice Requires="wps">
            <w:drawing>
              <wp:anchor distT="0" distB="0" distL="114300" distR="114300" simplePos="0" relativeHeight="251669504" behindDoc="0" locked="0" layoutInCell="1" allowOverlap="1">
                <wp:simplePos x="0" y="0"/>
                <wp:positionH relativeFrom="column">
                  <wp:posOffset>-114300</wp:posOffset>
                </wp:positionH>
                <wp:positionV relativeFrom="paragraph">
                  <wp:posOffset>-297180</wp:posOffset>
                </wp:positionV>
                <wp:extent cx="1943100" cy="495300"/>
                <wp:effectExtent l="4445" t="4445" r="14605" b="14605"/>
                <wp:wrapNone/>
                <wp:docPr id="7" name="文本框 7"/>
                <wp:cNvGraphicFramePr/>
                <a:graphic xmlns:a="http://schemas.openxmlformats.org/drawingml/2006/main">
                  <a:graphicData uri="http://schemas.microsoft.com/office/word/2010/wordprocessingShape">
                    <wps:wsp>
                      <wps:cNvSpPr txBox="true"/>
                      <wps:spPr>
                        <a:xfrm>
                          <a:off x="0" y="0"/>
                          <a:ext cx="1943100" cy="49530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ascii="宋体" w:hAnsi="宋体" w:cs="宋体"/>
                                <w:b/>
                                <w:bCs/>
                                <w:kern w:val="0"/>
                                <w:sz w:val="32"/>
                                <w:szCs w:val="32"/>
                              </w:rPr>
                              <w:t>TZDR-2018-001001</w:t>
                            </w:r>
                          </w:p>
                        </w:txbxContent>
                      </wps:txbx>
                      <wps:bodyPr upright="true"/>
                    </wps:wsp>
                  </a:graphicData>
                </a:graphic>
              </wp:anchor>
            </w:drawing>
          </mc:Choice>
          <mc:Fallback>
            <w:pict>
              <v:shape id="_x0000_s1026" o:spid="_x0000_s1026" o:spt="202" type="#_x0000_t202" style="position:absolute;left:0pt;margin-left:-9pt;margin-top:-23.4pt;height:39pt;width:153pt;z-index:251669504;mso-width-relative:page;mso-height-relative:page;" stroked="t" coordsize="21600,21600" o:gfxdata="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YKpPX1wAAAAoBAAAPAAAAAAAAAAEAIAAAADgAAABkcnMv&#10;ZG93bnJldi54bWxQSwECFAAUAAAACACHTuJAxjj8uu4BAADuAwAADgAAAAAAAAABACAAAAA8AQAA&#10;ZHJzL2Uyb0RvYy54bWxQSwUGAAAAAAYABgBZAQAAnAUAAAAA&#10;">
                <v:path/>
                <v:fill focussize="0,0"/>
                <v:stroke color="#FFFFFF" joinstyle="miter"/>
                <v:imagedata o:title=""/>
                <o:lock v:ext="edit"/>
                <v:textbox>
                  <w:txbxContent>
                    <w:p>
                      <w:r>
                        <w:rPr>
                          <w:rFonts w:ascii="宋体" w:hAnsi="宋体" w:cs="宋体"/>
                          <w:b/>
                          <w:bCs/>
                          <w:kern w:val="0"/>
                          <w:sz w:val="32"/>
                          <w:szCs w:val="32"/>
                        </w:rPr>
                        <w:t>TZDR-2018-001001</w:t>
                      </w:r>
                    </w:p>
                  </w:txbxContent>
                </v:textbox>
              </v:shape>
            </w:pict>
          </mc:Fallback>
        </mc:AlternateContent>
      </w:r>
      <w:r>
        <w:rPr>
          <w:rFonts w:hint="eastAsia" w:ascii="黑体" w:hAnsi="黑体" w:eastAsia="黑体"/>
          <w:color w:val="FFFFFF"/>
          <w:sz w:val="32"/>
          <w:szCs w:val="32"/>
        </w:rPr>
        <mc:AlternateContent>
          <mc:Choice Requires="wps">
            <w:drawing>
              <wp:anchor distT="0" distB="0" distL="114300" distR="114300" simplePos="0" relativeHeight="251673600" behindDoc="0" locked="0" layoutInCell="1" allowOverlap="1">
                <wp:simplePos x="0" y="0"/>
                <wp:positionH relativeFrom="column">
                  <wp:posOffset>-165735</wp:posOffset>
                </wp:positionH>
                <wp:positionV relativeFrom="paragraph">
                  <wp:posOffset>-403860</wp:posOffset>
                </wp:positionV>
                <wp:extent cx="1828800" cy="495300"/>
                <wp:effectExtent l="4445" t="4445" r="14605" b="14605"/>
                <wp:wrapNone/>
                <wp:docPr id="6" name="文本框 6"/>
                <wp:cNvGraphicFramePr/>
                <a:graphic xmlns:a="http://schemas.openxmlformats.org/drawingml/2006/main">
                  <a:graphicData uri="http://schemas.microsoft.com/office/word/2010/wordprocessingShape">
                    <wps:wsp>
                      <wps:cNvSpPr txBox="true"/>
                      <wps:spPr>
                        <a:xfrm>
                          <a:off x="0" y="0"/>
                          <a:ext cx="1828800" cy="4953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eastAsia="黑体"/>
                                <w:lang w:eastAsia="zh-CN"/>
                              </w:rPr>
                            </w:pPr>
                            <w:r>
                              <w:rPr>
                                <w:rFonts w:hint="eastAsia" w:ascii="黑体" w:hAnsi="黑体" w:eastAsia="黑体"/>
                                <w:sz w:val="32"/>
                                <w:szCs w:val="32"/>
                              </w:rPr>
                              <w:t>TZDR-2018-00100</w:t>
                            </w:r>
                            <w:r>
                              <w:rPr>
                                <w:rFonts w:hint="eastAsia" w:ascii="黑体" w:hAnsi="黑体" w:eastAsia="黑体"/>
                                <w:sz w:val="32"/>
                                <w:szCs w:val="32"/>
                                <w:lang w:val="en-US" w:eastAsia="zh-CN"/>
                              </w:rPr>
                              <w:t>2</w:t>
                            </w:r>
                          </w:p>
                        </w:txbxContent>
                      </wps:txbx>
                      <wps:bodyPr upright="true"/>
                    </wps:wsp>
                  </a:graphicData>
                </a:graphic>
              </wp:anchor>
            </w:drawing>
          </mc:Choice>
          <mc:Fallback>
            <w:pict>
              <v:shape id="_x0000_s1026" o:spid="_x0000_s1026" o:spt="202" type="#_x0000_t202" style="position:absolute;left:0pt;margin-left:-13.05pt;margin-top:-31.8pt;height:39pt;width:144pt;z-index:251673600;mso-width-relative:page;mso-height-relative:page;" fillcolor="#FFFFFF" filled="t" stroked="t" coordsize="21600,21600" o:gfxdata="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DJfXwG1wAAAAoBAAAPAAAAAAAAAAEAIAAAADgAAABkcnMv&#10;ZG93bnJldi54bWxQSwECFAAUAAAACACHTuJAB+xAbu4BAADuAwAADgAAAAAAAAABACAAAAA8AQAA&#10;ZHJzL2Uyb0RvYy54bWxQSwUGAAAAAAYABgBZAQAAnAUAAAAA&#10;">
                <v:path/>
                <v:fill on="t" focussize="0,0"/>
                <v:stroke color="#FFFFFF"/>
                <v:imagedata o:title=""/>
                <o:lock v:ext="edit"/>
                <v:textbox>
                  <w:txbxContent>
                    <w:p>
                      <w:pPr>
                        <w:rPr>
                          <w:rFonts w:hint="eastAsia" w:eastAsia="黑体"/>
                          <w:lang w:eastAsia="zh-CN"/>
                        </w:rPr>
                      </w:pPr>
                      <w:r>
                        <w:rPr>
                          <w:rFonts w:hint="eastAsia" w:ascii="黑体" w:hAnsi="黑体" w:eastAsia="黑体"/>
                          <w:sz w:val="32"/>
                          <w:szCs w:val="32"/>
                        </w:rPr>
                        <w:t>TZDR-2018-00100</w:t>
                      </w:r>
                      <w:r>
                        <w:rPr>
                          <w:rFonts w:hint="eastAsia" w:ascii="黑体" w:hAnsi="黑体" w:eastAsia="黑体"/>
                          <w:sz w:val="32"/>
                          <w:szCs w:val="32"/>
                          <w:lang w:val="en-US" w:eastAsia="zh-CN"/>
                        </w:rPr>
                        <w:t>2</w:t>
                      </w:r>
                    </w:p>
                  </w:txbxContent>
                </v:textbox>
              </v:shape>
            </w:pict>
          </mc:Fallback>
        </mc:AlternateContent>
      </w:r>
      <w:r>
        <w:rPr>
          <w:rFonts w:hint="eastAsia" w:ascii="方正大标宋简体" w:eastAsia="方正大标宋简体" w:cs="方正大标宋简体"/>
          <w:color w:val="FF0000"/>
          <w:spacing w:val="-28"/>
          <w:w w:val="50"/>
          <w:sz w:val="190"/>
          <w:szCs w:val="190"/>
        </w:rPr>
        <w:t>滕州市人民政府文件</w:t>
      </w:r>
    </w:p>
    <w:p>
      <w:pPr>
        <w:spacing w:line="1680" w:lineRule="exact"/>
        <w:jc w:val="center"/>
        <w:rPr>
          <w:rFonts w:ascii="方正大标宋简体" w:eastAsia="方正大标宋简体"/>
          <w:w w:val="65"/>
          <w:sz w:val="140"/>
          <w:szCs w:val="140"/>
        </w:rPr>
      </w:pPr>
      <w:r>
        <w:rPr>
          <w:rFonts w:hint="eastAsia" w:ascii="仿宋_GB2312" w:eastAsia="仿宋_GB2312" w:cs="仿宋_GB2312"/>
          <w:sz w:val="32"/>
          <w:szCs w:val="32"/>
        </w:rPr>
        <w:t>滕政发〔</w:t>
      </w:r>
      <w:r>
        <w:rPr>
          <w:rFonts w:ascii="仿宋_GB2312" w:eastAsia="仿宋_GB2312" w:cs="仿宋_GB2312"/>
          <w:sz w:val="32"/>
          <w:szCs w:val="32"/>
        </w:rPr>
        <w:t>20</w:t>
      </w:r>
      <w:r>
        <w:rPr>
          <w:rFonts w:hint="eastAsia" w:ascii="仿宋_GB2312" w:eastAsia="仿宋_GB2312" w:cs="仿宋_GB2312"/>
          <w:sz w:val="32"/>
          <w:szCs w:val="32"/>
          <w:lang w:val="en-US" w:eastAsia="zh-CN"/>
        </w:rPr>
        <w:t>18</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9</w:t>
      </w:r>
      <w:r>
        <w:rPr>
          <w:rFonts w:hint="eastAsia" w:ascii="仿宋_GB2312" w:eastAsia="仿宋_GB2312" w:cs="仿宋_GB2312"/>
          <w:sz w:val="32"/>
          <w:szCs w:val="32"/>
        </w:rPr>
        <w:t>号</w:t>
      </w:r>
    </w:p>
    <w:p>
      <w:pPr>
        <w:spacing w:line="200" w:lineRule="exact"/>
        <w:jc w:val="center"/>
        <w:rPr>
          <w:rFonts w:ascii="方正大标宋简体" w:eastAsia="方正大标宋简体"/>
          <w:w w:val="65"/>
          <w:sz w:val="140"/>
          <w:szCs w:val="140"/>
        </w:rPr>
      </w:pPr>
      <w:r>
        <mc:AlternateContent>
          <mc:Choice Requires="wps">
            <w:drawing>
              <wp:anchor distT="0" distB="0" distL="114300" distR="114300" simplePos="0" relativeHeight="251674624" behindDoc="0" locked="0" layoutInCell="1" allowOverlap="1">
                <wp:simplePos x="0" y="0"/>
                <wp:positionH relativeFrom="column">
                  <wp:posOffset>-91440</wp:posOffset>
                </wp:positionH>
                <wp:positionV relativeFrom="paragraph">
                  <wp:posOffset>0</wp:posOffset>
                </wp:positionV>
                <wp:extent cx="5568315" cy="0"/>
                <wp:effectExtent l="0" t="9525" r="13335" b="9525"/>
                <wp:wrapNone/>
                <wp:docPr id="3" name="直接连接符 3"/>
                <wp:cNvGraphicFramePr/>
                <a:graphic xmlns:a="http://schemas.openxmlformats.org/drawingml/2006/main">
                  <a:graphicData uri="http://schemas.microsoft.com/office/word/2010/wordprocessingShape">
                    <wps:wsp>
                      <wps:cNvSpPr/>
                      <wps:spPr>
                        <a:xfrm>
                          <a:off x="0" y="0"/>
                          <a:ext cx="5568315"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7.2pt;margin-top:0pt;height:0pt;width:438.45pt;z-index:251674624;mso-width-relative:page;mso-height-relative:page;" stroked="t" coordsize="21600,21600" o:gfxdata="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NoSsFtUAAAAFAQAADwAAAAAAAAABACAAAAA4AAAAZHJzL2Rvd25yZXYueG1sUEsBAhQA&#10;FAAAAAgAh07iQMGKIPTfAQAAmgMAAA4AAAAAAAAAAQAgAAAAOgEAAGRycy9lMm9Eb2MueG1sUEsF&#10;BgAAAAAGAAYAWQEAAIsFAAAAAA==&#10;">
                <v:path arrowok="t"/>
                <v:fill focussize="0,0"/>
                <v:stroke weight="1.5pt" color="#FF0000"/>
                <v:imagedata o:title=""/>
                <o:lock v:ext="edit"/>
              </v:line>
            </w:pict>
          </mc:Fallback>
        </mc:AlternateContent>
      </w:r>
    </w:p>
    <w:p>
      <w:pPr>
        <w:spacing w:line="400" w:lineRule="exact"/>
        <w:jc w:val="center"/>
        <w:rPr>
          <w:rFonts w:ascii="仿宋_GB2312" w:eastAsia="仿宋_GB2312"/>
          <w:color w:val="000000"/>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jc w:val="center"/>
        <w:textAlignment w:val="auto"/>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滕州市人民政府</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仿宋_GB2312" w:hAnsi="仿宋_GB2312" w:eastAsia="仿宋_GB2312"/>
          <w:color w:val="000000" w:themeColor="text1"/>
          <w:kern w:val="0"/>
          <w:sz w:val="32"/>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lang w:val="en-US" w:eastAsia="zh-CN"/>
          <w14:textFill>
            <w14:solidFill>
              <w14:schemeClr w14:val="tx1"/>
            </w14:solidFill>
          </w14:textFill>
        </w:rPr>
        <w:t>关于公布市政府规范性文件清理结果的决定</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olor w:val="000000" w:themeColor="text1"/>
          <w:kern w:val="0"/>
          <w:sz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仿宋_GB2312" w:eastAsia="仿宋_GB2312"/>
          <w:color w:val="000000" w:themeColor="text1"/>
          <w:kern w:val="0"/>
          <w:sz w:val="32"/>
          <w:lang w:eastAsia="zh-CN"/>
          <w14:textFill>
            <w14:solidFill>
              <w14:schemeClr w14:val="tx1"/>
            </w14:solidFill>
          </w14:textFill>
        </w:rPr>
      </w:pPr>
      <w:r>
        <w:rPr>
          <w:rFonts w:hint="eastAsia" w:ascii="仿宋_GB2312" w:hAnsi="仿宋_GB2312" w:eastAsia="仿宋_GB2312"/>
          <w:color w:val="000000" w:themeColor="text1"/>
          <w:kern w:val="0"/>
          <w:sz w:val="32"/>
          <w:lang w:eastAsia="zh-CN"/>
          <w14:textFill>
            <w14:solidFill>
              <w14:schemeClr w14:val="tx1"/>
            </w14:solidFill>
          </w14:textFill>
        </w:rPr>
        <w:t>各镇人民政府、街道办事处，</w:t>
      </w:r>
      <w:r>
        <w:rPr>
          <w:rFonts w:hint="eastAsia" w:ascii="仿宋_GB2312" w:hAnsi="仿宋_GB2312" w:eastAsia="仿宋_GB2312"/>
          <w:color w:val="000000" w:themeColor="text1"/>
          <w:kern w:val="0"/>
          <w:sz w:val="32"/>
          <w14:textFill>
            <w14:solidFill>
              <w14:schemeClr w14:val="tx1"/>
            </w14:solidFill>
          </w14:textFill>
        </w:rPr>
        <w:t>滕州经济开发区管委会，市政府各部门，</w:t>
      </w:r>
      <w:r>
        <w:rPr>
          <w:rFonts w:hint="eastAsia" w:ascii="仿宋_GB2312" w:hAnsi="仿宋_GB2312" w:eastAsia="仿宋_GB2312"/>
          <w:color w:val="000000" w:themeColor="text1"/>
          <w:kern w:val="0"/>
          <w:sz w:val="32"/>
          <w:lang w:eastAsia="zh-CN"/>
          <w14:textFill>
            <w14:solidFill>
              <w14:schemeClr w14:val="tx1"/>
            </w14:solidFill>
          </w14:textFill>
        </w:rPr>
        <w:t>各企事业单位：</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outlineLvl w:val="9"/>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为深入贯彻落实中央、省</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和两级</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市法治政府建设实施纲要，进一步加强规范性文件的监督管理，维护社会主义法制统一，更好地服务全市经济社会发展，根据</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《国务院关于在市场体系建设中建立公平竞争审查制度的意见》（国发〔</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2016〕34号）</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山东省行政程序规定》（政府令第238号）、《山东省人民政府办公厅贯彻落实国办发〔2017〕40号文件进一步做好规范性文件清理工作的通知》（鲁政办发〔2017〕56号）和《山东省人民政府法制办公室关于做好生态文明建设和环境保护法规、规章和规范性文件清理工作的函》（鲁府法发〔2017〕22号）等文件要求，</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市政府组织对</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201</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7年之</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前</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发布</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的</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市</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政府规范性文件</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依法</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进行了全面清理</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清理结果已经201</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8</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年1月</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18</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日</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第18届15</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次市政府常务会议审议通过，现公布如下：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outlineLvl w:val="9"/>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default" w:ascii="仿宋_GB2312" w:hAnsi="仿宋_GB2312" w:eastAsia="仿宋_GB2312" w:cs="仿宋_GB2312"/>
          <w:b/>
          <w:bCs/>
          <w:i w:val="0"/>
          <w:caps w:val="0"/>
          <w:color w:val="000000" w:themeColor="text1"/>
          <w:spacing w:val="0"/>
          <w:kern w:val="0"/>
          <w:sz w:val="32"/>
          <w:szCs w:val="32"/>
          <w:lang w:val="en-US" w:eastAsia="zh-CN" w:bidi="ar"/>
          <w14:textFill>
            <w14:solidFill>
              <w14:schemeClr w14:val="tx1"/>
            </w14:solidFill>
          </w14:textFill>
        </w:rPr>
        <w:t>一、</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滕州市人民政府关于加强农业标准体系建设工作的意见</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》等</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174</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件市政府规范性文件继续有效</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。其中，标注了有效期的文件，按其载明的有效期执行；未标注有效期的文件</w:t>
      </w:r>
      <w:r>
        <w:rPr>
          <w:rFonts w:hint="eastAsia" w:ascii="仿宋_GB2312" w:hAnsi="仿宋_GB2312" w:eastAsia="仿宋_GB2312"/>
          <w:color w:val="000000" w:themeColor="text1"/>
          <w:kern w:val="0"/>
          <w:sz w:val="32"/>
          <w:lang w:val="en-US" w:eastAsia="zh-CN"/>
          <w14:textFill>
            <w14:solidFill>
              <w14:schemeClr w14:val="tx1"/>
            </w14:solidFill>
          </w14:textFill>
        </w:rPr>
        <w:t>，其有效期至</w:t>
      </w:r>
      <w:r>
        <w:rPr>
          <w:rFonts w:hint="default" w:ascii="仿宋_GB2312" w:hAnsi="仿宋_GB2312" w:eastAsia="仿宋_GB2312"/>
          <w:color w:val="000000" w:themeColor="text1"/>
          <w:kern w:val="0"/>
          <w:sz w:val="32"/>
          <w:lang w:val="en-US" w:eastAsia="zh-CN"/>
          <w14:textFill>
            <w14:solidFill>
              <w14:schemeClr w14:val="tx1"/>
            </w14:solidFill>
          </w14:textFill>
        </w:rPr>
        <w:t>202</w:t>
      </w:r>
      <w:r>
        <w:rPr>
          <w:rFonts w:hint="eastAsia" w:ascii="仿宋_GB2312" w:hAnsi="仿宋_GB2312" w:eastAsia="仿宋_GB2312"/>
          <w:color w:val="000000" w:themeColor="text1"/>
          <w:kern w:val="0"/>
          <w:sz w:val="32"/>
          <w:lang w:val="en-US" w:eastAsia="zh-CN"/>
          <w14:textFill>
            <w14:solidFill>
              <w14:schemeClr w14:val="tx1"/>
            </w14:solidFill>
          </w14:textFill>
        </w:rPr>
        <w:t>3</w:t>
      </w:r>
      <w:r>
        <w:rPr>
          <w:rFonts w:hint="default" w:ascii="仿宋_GB2312" w:hAnsi="仿宋_GB2312" w:eastAsia="仿宋_GB2312"/>
          <w:color w:val="000000" w:themeColor="text1"/>
          <w:kern w:val="0"/>
          <w:sz w:val="32"/>
          <w:lang w:val="en-US" w:eastAsia="zh-CN"/>
          <w14:textFill>
            <w14:solidFill>
              <w14:schemeClr w14:val="tx1"/>
            </w14:solidFill>
          </w14:textFill>
        </w:rPr>
        <w:t>年</w:t>
      </w:r>
      <w:r>
        <w:rPr>
          <w:rFonts w:hint="eastAsia" w:ascii="仿宋_GB2312" w:hAnsi="仿宋_GB2312" w:eastAsia="仿宋_GB2312"/>
          <w:color w:val="000000" w:themeColor="text1"/>
          <w:kern w:val="0"/>
          <w:sz w:val="32"/>
          <w:lang w:val="en-US" w:eastAsia="zh-CN"/>
          <w14:textFill>
            <w14:solidFill>
              <w14:schemeClr w14:val="tx1"/>
            </w14:solidFill>
          </w14:textFill>
        </w:rPr>
        <w:t>2</w:t>
      </w:r>
      <w:r>
        <w:rPr>
          <w:rFonts w:hint="default" w:ascii="仿宋_GB2312" w:hAnsi="仿宋_GB2312" w:eastAsia="仿宋_GB2312"/>
          <w:color w:val="000000" w:themeColor="text1"/>
          <w:kern w:val="0"/>
          <w:sz w:val="32"/>
          <w:lang w:val="en-US" w:eastAsia="zh-CN"/>
          <w14:textFill>
            <w14:solidFill>
              <w14:schemeClr w14:val="tx1"/>
            </w14:solidFill>
          </w14:textFill>
        </w:rPr>
        <w:t>月</w:t>
      </w:r>
      <w:r>
        <w:rPr>
          <w:rFonts w:hint="eastAsia" w:ascii="仿宋_GB2312" w:hAnsi="仿宋_GB2312" w:eastAsia="仿宋_GB2312"/>
          <w:color w:val="000000" w:themeColor="text1"/>
          <w:kern w:val="0"/>
          <w:sz w:val="32"/>
          <w:lang w:val="en-US" w:eastAsia="zh-CN"/>
          <w14:textFill>
            <w14:solidFill>
              <w14:schemeClr w14:val="tx1"/>
            </w14:solidFill>
          </w14:textFill>
        </w:rPr>
        <w:t>6</w:t>
      </w:r>
      <w:r>
        <w:rPr>
          <w:rFonts w:hint="default" w:ascii="仿宋_GB2312" w:hAnsi="仿宋_GB2312" w:eastAsia="仿宋_GB2312"/>
          <w:color w:val="000000" w:themeColor="text1"/>
          <w:kern w:val="0"/>
          <w:sz w:val="32"/>
          <w:lang w:val="en-US" w:eastAsia="zh-CN"/>
          <w14:textFill>
            <w14:solidFill>
              <w14:schemeClr w14:val="tx1"/>
            </w14:solidFill>
          </w14:textFill>
        </w:rPr>
        <w:t>日，但标注暂行、试</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行的文件有效期至20</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20</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年</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2</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月</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6</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日</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pPr>
      <w:r>
        <w:rPr>
          <w:rFonts w:hint="default" w:ascii="仿宋_GB2312" w:hAnsi="仿宋_GB2312" w:eastAsia="仿宋_GB2312" w:cs="仿宋_GB2312"/>
          <w:b/>
          <w:bCs/>
          <w:i w:val="0"/>
          <w:caps w:val="0"/>
          <w:color w:val="000000" w:themeColor="text1"/>
          <w:spacing w:val="0"/>
          <w:kern w:val="0"/>
          <w:sz w:val="32"/>
          <w:szCs w:val="32"/>
          <w:lang w:val="en-US" w:eastAsia="zh-CN" w:bidi="ar"/>
          <w14:textFill>
            <w14:solidFill>
              <w14:schemeClr w14:val="tx1"/>
            </w14:solidFill>
          </w14:textFill>
        </w:rPr>
        <w:t>二、</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滕州市人民政府关于印发&lt;市国有资产经营性收入收缴管理意见&gt;的通知</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》等</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28</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件市政府规范性文件</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需要修改</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需要修改的市政府规范性文件，与法律、法规、规章和上级政策规定不一致的，执行法律、法规、规章和上级政策规定；其他内容继续有效，有效期至201</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8</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年</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4</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月3</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0</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日。各部门要抓紧</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修改</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于有效期</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前完成修</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改</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工作。逾期未完成修</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改</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的，原文件自动失效。</w:t>
      </w:r>
      <w:bookmarkStart w:id="0" w:name="_GoBack"/>
      <w:bookmarkEnd w:id="0"/>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firstLine="640"/>
        <w:jc w:val="both"/>
        <w:textAlignment w:val="auto"/>
        <w:outlineLvl w:val="9"/>
        <w:rPr>
          <w:rFonts w:hint="eastAsia" w:ascii="仿宋_GB2312" w:hAnsi="仿宋_GB2312" w:eastAsia="仿宋_GB2312"/>
          <w:color w:val="000000" w:themeColor="text1"/>
          <w:kern w:val="0"/>
          <w:sz w:val="32"/>
          <w:lang w:val="en-US" w:eastAsia="zh-CN"/>
          <w14:textFill>
            <w14:solidFill>
              <w14:schemeClr w14:val="tx1"/>
            </w14:solidFill>
          </w14:textFill>
        </w:rPr>
      </w:pPr>
      <w:r>
        <w:rPr>
          <w:rFonts w:hint="default" w:ascii="仿宋_GB2312" w:hAnsi="仿宋_GB2312" w:eastAsia="仿宋_GB2312" w:cs="仿宋_GB2312"/>
          <w:b/>
          <w:bCs/>
          <w:i w:val="0"/>
          <w:caps w:val="0"/>
          <w:color w:val="000000" w:themeColor="text1"/>
          <w:spacing w:val="0"/>
          <w:kern w:val="0"/>
          <w:sz w:val="32"/>
          <w:szCs w:val="32"/>
          <w:lang w:val="en-US" w:eastAsia="zh-CN" w:bidi="ar"/>
          <w14:textFill>
            <w14:solidFill>
              <w14:schemeClr w14:val="tx1"/>
            </w14:solidFill>
          </w14:textFill>
        </w:rPr>
        <w:t>三、</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滕州市人民政府关于加快“退二进三”的意见</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等</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153</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件市政府规范性文件</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宣布</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废止</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和失效。</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废止</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和失效</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的文件自公布之日起停止执行</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w:t>
      </w:r>
      <w:r>
        <w:rPr>
          <w:rFonts w:hint="eastAsia" w:ascii="仿宋_GB2312" w:hAnsi="仿宋_GB2312" w:eastAsia="仿宋_GB2312"/>
          <w:color w:val="000000" w:themeColor="text1"/>
          <w:kern w:val="0"/>
          <w:sz w:val="32"/>
          <w:lang w:val="en-US" w:eastAsia="zh-CN"/>
          <w14:textFill>
            <w14:solidFill>
              <w14:schemeClr w14:val="tx1"/>
            </w14:solidFill>
          </w14:textFill>
        </w:rPr>
        <w:t>不再作为实施行政管理的依据。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附:市政府规范性文件目录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　　</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jc w:val="both"/>
        <w:textAlignment w:val="auto"/>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jc w:val="both"/>
        <w:textAlignment w:val="auto"/>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 xml:space="preserve">                               滕州</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jc w:val="both"/>
        <w:textAlignment w:val="auto"/>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pP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 xml:space="preserve">                               </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201</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8</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年</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2</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月</w:t>
      </w:r>
      <w:r>
        <w:rPr>
          <w:rFonts w:hint="eastAsia"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7</w:t>
      </w:r>
      <w:r>
        <w:rPr>
          <w:rFonts w:hint="default" w:ascii="仿宋_GB2312" w:hAnsi="仿宋_GB2312" w:eastAsia="仿宋_GB2312" w:cs="仿宋_GB2312"/>
          <w:b w:val="0"/>
          <w:i w:val="0"/>
          <w:caps w:val="0"/>
          <w:color w:val="000000" w:themeColor="text1"/>
          <w:spacing w:val="0"/>
          <w:kern w:val="0"/>
          <w:sz w:val="32"/>
          <w:szCs w:val="32"/>
          <w:lang w:val="en-US" w:eastAsia="zh-CN" w:bidi="ar"/>
          <w14:textFill>
            <w14:solidFill>
              <w14:schemeClr w14:val="tx1"/>
            </w14:solidFill>
          </w14:textFill>
        </w:rPr>
        <w:t>日</w:t>
      </w:r>
    </w:p>
    <w:p>
      <w:pPr>
        <w:keepNext w:val="0"/>
        <w:keepLines w:val="0"/>
        <w:pageBreakBefore w:val="0"/>
        <w:widowControl w:val="0"/>
        <w:numPr>
          <w:ilvl w:val="0"/>
          <w:numId w:val="0"/>
        </w:numPr>
        <w:tabs>
          <w:tab w:val="right" w:pos="8504"/>
        </w:tabs>
        <w:kinsoku/>
        <w:wordWrap/>
        <w:overflowPunct/>
        <w:topLinePunct w:val="0"/>
        <w:autoSpaceDE/>
        <w:autoSpaceDN/>
        <w:bidi w:val="0"/>
        <w:adjustRightInd/>
        <w:snapToGrid/>
        <w:spacing w:line="540" w:lineRule="exact"/>
        <w:ind w:left="0" w:leftChars="0" w:right="0" w:rightChars="0"/>
        <w:jc w:val="both"/>
        <w:textAlignment w:val="auto"/>
        <w:rPr>
          <w:rFonts w:hint="eastAsia" w:ascii="仿宋_GB2312" w:hAnsi="仿宋_GB2312" w:eastAsia="仿宋_GB2312"/>
          <w:color w:val="000000" w:themeColor="text1"/>
          <w:kern w:val="0"/>
          <w:sz w:val="32"/>
          <w:lang w:val="en-US" w:eastAsia="zh-CN"/>
          <w14:textFill>
            <w14:solidFill>
              <w14:schemeClr w14:val="tx1"/>
            </w14:solidFill>
          </w14:textFill>
        </w:rPr>
        <w:sectPr>
          <w:footerReference r:id="rId3" w:type="default"/>
          <w:pgSz w:w="11906" w:h="16838"/>
          <w:pgMar w:top="1701" w:right="1701" w:bottom="1701" w:left="1701" w:header="851" w:footer="992" w:gutter="0"/>
          <w:pgNumType w:fmt="numberInDash"/>
          <w:cols w:space="0" w:num="1"/>
          <w:rtlGutter w:val="0"/>
          <w:docGrid w:type="lines" w:linePitch="312" w:charSpace="0"/>
        </w:sectPr>
      </w:pPr>
    </w:p>
    <w:p>
      <w:pP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附件</w:t>
      </w:r>
    </w:p>
    <w:p>
      <w:pPr>
        <w:keepNext w:val="0"/>
        <w:keepLines w:val="0"/>
        <w:pageBreakBefore w:val="0"/>
        <w:widowControl w:val="0"/>
        <w:tabs>
          <w:tab w:val="center" w:pos="6777"/>
          <w:tab w:val="left" w:pos="11983"/>
        </w:tabs>
        <w:kinsoku/>
        <w:wordWrap/>
        <w:overflowPunct/>
        <w:topLinePunct w:val="0"/>
        <w:autoSpaceDE/>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市政府规范性文件</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目录</w:t>
      </w:r>
    </w:p>
    <w:p>
      <w:pPr>
        <w:keepNext w:val="0"/>
        <w:keepLines w:val="0"/>
        <w:pageBreakBefore w:val="0"/>
        <w:widowControl w:val="0"/>
        <w:tabs>
          <w:tab w:val="left" w:pos="2533"/>
        </w:tabs>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w:t>
      </w:r>
    </w:p>
    <w:p>
      <w:pPr>
        <w:widowControl/>
        <w:spacing w:line="560" w:lineRule="exact"/>
        <w:ind w:firstLine="320" w:firstLineChars="100"/>
        <w:jc w:val="left"/>
        <w:rPr>
          <w:rFonts w:hint="eastAsia" w:ascii="楷体_GB2312" w:hAnsi="楷体_GB2312" w:eastAsia="楷体_GB2312" w:cs="楷体_GB2312"/>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一、</w:t>
      </w:r>
      <w:r>
        <w:rPr>
          <w:rFonts w:hint="eastAsia" w:ascii="黑体" w:hAnsi="黑体" w:eastAsia="黑体" w:cs="黑体"/>
          <w:color w:val="000000" w:themeColor="text1"/>
          <w:sz w:val="32"/>
          <w:szCs w:val="32"/>
          <w:lang w:val="en-US" w:eastAsia="zh-CN"/>
          <w14:textFill>
            <w14:solidFill>
              <w14:schemeClr w14:val="tx1"/>
            </w14:solidFill>
          </w14:textFill>
        </w:rPr>
        <w:t>继续有效的规范性文件目录</w:t>
      </w:r>
    </w:p>
    <w:tbl>
      <w:tblPr>
        <w:tblStyle w:val="7"/>
        <w:tblW w:w="13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88"/>
        <w:gridCol w:w="2"/>
        <w:gridCol w:w="1"/>
        <w:gridCol w:w="7272"/>
        <w:gridCol w:w="1"/>
        <w:gridCol w:w="1"/>
        <w:gridCol w:w="2896"/>
        <w:gridCol w:w="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序号</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文</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号</w:t>
            </w:r>
          </w:p>
        </w:tc>
        <w:tc>
          <w:tcPr>
            <w:tcW w:w="7275"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文</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件</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名</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称</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起草部门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90"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2002</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关于加强农业标准体系建设工作的意见</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2002</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89号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关于加强城市规划区内园林绿化建设管理意见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335"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2003</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35号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关于解决国有企业破产终结工作问题的意见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滕政发〔2003〕81号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转发《枣庄市中小学校舍安全责任追究办法》的通知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w:t>
            </w:r>
          </w:p>
        </w:tc>
        <w:tc>
          <w:tcPr>
            <w:tcW w:w="27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2004</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90号</w:t>
            </w:r>
          </w:p>
        </w:tc>
        <w:tc>
          <w:tcPr>
            <w:tcW w:w="7275"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8"/>
                <w:sz w:val="24"/>
                <w:szCs w:val="24"/>
                <w:vertAlign w:val="baseline"/>
                <w:lang w:val="en-US" w:eastAsia="zh-CN"/>
                <w14:textFill>
                  <w14:solidFill>
                    <w14:schemeClr w14:val="tx1"/>
                  </w14:solidFill>
                </w14:textFill>
              </w:rPr>
              <w:t>关于建立经济开发区失地农民生活补助金制度的意见（试行）</w:t>
            </w:r>
          </w:p>
        </w:tc>
        <w:tc>
          <w:tcPr>
            <w:tcW w:w="289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8"/>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8"/>
                <w:sz w:val="24"/>
                <w:szCs w:val="24"/>
                <w:vertAlign w:val="baseline"/>
                <w:lang w:val="en-US" w:eastAsia="zh-CN"/>
                <w14:textFill>
                  <w14:solidFill>
                    <w14:schemeClr w14:val="tx1"/>
                  </w14:solidFill>
                </w14:textFill>
              </w:rPr>
              <w:t>经济开发区管委会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w:t>
            </w:r>
          </w:p>
        </w:tc>
        <w:tc>
          <w:tcPr>
            <w:tcW w:w="27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2004</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96号</w:t>
            </w:r>
          </w:p>
        </w:tc>
        <w:tc>
          <w:tcPr>
            <w:tcW w:w="7275"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8"/>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关于贯彻落实《山东省计划生育技术服务管理办法》的实施意见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8"/>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2005</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54号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关于实行政府投资项目代建制的意见（试行）</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2005</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56号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关于进一步加强社会保险费征缴工作的意见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2005</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60号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关于转发《枣庄市城市基础设施配套费征收管理办法》和《枣庄市城市基础设施配套费征收管理办法》的通知</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2006</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29号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3"/>
                <w:sz w:val="24"/>
                <w:szCs w:val="24"/>
                <w:vertAlign w:val="baseline"/>
                <w:lang w:val="en-US" w:eastAsia="zh-CN"/>
                <w14:textFill>
                  <w14:solidFill>
                    <w14:schemeClr w14:val="tx1"/>
                  </w14:solidFill>
                </w14:textFill>
              </w:rPr>
              <w:t>关于进一步加强建筑企业养老保险金征缴管理工作的通知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2006</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37号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关于印发《滕州市农村五保供养工作办法》的通知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10号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关于推进农村土地承包经营权流转的实施意见</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市经管局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w:t>
            </w:r>
          </w:p>
        </w:tc>
        <w:tc>
          <w:tcPr>
            <w:tcW w:w="2791"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18号</w:t>
            </w:r>
          </w:p>
        </w:tc>
        <w:tc>
          <w:tcPr>
            <w:tcW w:w="7274"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关于印发《滕州经济开发区扎口管理实施办法》的通知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经济开发区管委会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w:t>
            </w:r>
          </w:p>
        </w:tc>
        <w:tc>
          <w:tcPr>
            <w:tcW w:w="2791"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31号</w:t>
            </w:r>
          </w:p>
        </w:tc>
        <w:tc>
          <w:tcPr>
            <w:tcW w:w="7274"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关于加强政府非税收入征收管理的意见</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36号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关于加强城市道路附属设施建设管理的意见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43号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关于进一步明确破产企业职工安置和社会保险有关问题的意见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79号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关于印发《滕州市国有土地使用权出让收支管理办法》的通知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18</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74号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关于加强出口农产品质量安全区域化建设的意见</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19</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102号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关于印发《滕州市除四害管理办法》的通知</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color w:val="000000" w:themeColor="text1"/>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103号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关于印发《滕州市爱国卫生工作管理规定》的通知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115号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w:t>
            </w:r>
            <w:r>
              <w:rPr>
                <w:rFonts w:hint="eastAsia" w:ascii="仿宋_GB2312" w:hAnsi="仿宋_GB2312" w:eastAsia="仿宋_GB2312" w:cs="仿宋_GB2312"/>
                <w:b w:val="0"/>
                <w:bCs w:val="0"/>
                <w:color w:val="000000" w:themeColor="text1"/>
                <w:spacing w:val="-7"/>
                <w:sz w:val="24"/>
                <w:szCs w:val="24"/>
                <w:vertAlign w:val="baseline"/>
                <w:lang w:val="en-US" w:eastAsia="zh-CN"/>
                <w14:textFill>
                  <w14:solidFill>
                    <w14:schemeClr w14:val="tx1"/>
                  </w14:solidFill>
                </w14:textFill>
              </w:rPr>
              <w:t>于印发《滕州市抚恤定补优抚对象医疗保障办法（试行）》的通知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滕政发〔2010〕36号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关于进一步加强土地矿产资源管理工作的意见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23</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关于加快推进散装水泥发展的实施意见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24</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62号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关于完善城镇职工医疗保险制度有关问题的通知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25</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84号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关于进一步加强企业安全生产工作的通知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26</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t>关于印发《滕州市农村公共供水管理办法》的通知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27</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滕政发〔2010〕90号</w:t>
            </w:r>
          </w:p>
        </w:tc>
        <w:tc>
          <w:tcPr>
            <w:tcW w:w="7273"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关于进一步加强土地管理工作的意见</w:t>
            </w:r>
          </w:p>
        </w:tc>
        <w:tc>
          <w:tcPr>
            <w:tcW w:w="289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28</w:t>
            </w:r>
          </w:p>
        </w:tc>
        <w:tc>
          <w:tcPr>
            <w:tcW w:w="2791"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98号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24"/>
                <w:szCs w:val="24"/>
                <w:vertAlign w:val="baseline"/>
                <w:lang w:val="en-US" w:eastAsia="zh-CN"/>
                <w14:textFill>
                  <w14:solidFill>
                    <w14:schemeClr w14:val="tx1"/>
                  </w14:solidFill>
                </w14:textFill>
              </w:rPr>
              <w:t>关于对全市农村一女双女独生子女伤亡病残家庭参加“新农合”给予补贴的通知</w:t>
            </w:r>
          </w:p>
        </w:tc>
        <w:tc>
          <w:tcPr>
            <w:tcW w:w="2897"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29</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112号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关于印发《滕州市火车站广场管理办法》的通知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30</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16号</w:t>
            </w:r>
          </w:p>
        </w:tc>
        <w:tc>
          <w:tcPr>
            <w:tcW w:w="7273" w:type="dxa"/>
            <w:gridSpan w:val="2"/>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印发《关于加强滕州经济开发区入区企业建设管理的意见》的通知</w:t>
            </w:r>
          </w:p>
        </w:tc>
        <w:tc>
          <w:tcPr>
            <w:tcW w:w="289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经济开发区管委会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关于加强林业有害生物防控工作的意见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32</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27号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关于印发《滕州市封山育林管理办法》的通知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滕政发〔2011〕46号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关于进一步加强农用地转用和土地征收前期工作的通知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滕政发〔2011〕51号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关于加快发展公共租赁住房的实施意见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滕政发〔2011〕52号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关于在新建商品住房开发项目中配建公共租赁住房的实施意见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滕政发〔2011〕65号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关于加强小型水利工程管理的意见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37</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90号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印发《关于城市规划区临街单位合用城市绿地（人行道）开口及收费标准的管理规定》的通知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滕政发〔2011〕107号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关于加快城市拆迁项目安置区建设的意见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滕政发〔2011〕108号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关于印发《滕州市地方志工作管理办法》的通知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市史志办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滕政发〔2011〕121号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关于贯彻《山东省地方水利建设基金筹集和使用管理办法》有关问题的通知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滕政发〔2011〕129号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关于印发《滕州市房屋征收储备土地上建筑物附着物残值收入管理暂行办法》的通知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关于进一步加强滕州市级土地整理开发项目管理的通知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11"/>
                <w:sz w:val="24"/>
                <w:szCs w:val="24"/>
                <w14:textFill>
                  <w14:solidFill>
                    <w14:schemeClr w14:val="tx1"/>
                  </w14:solidFill>
                </w14:textFill>
              </w:rPr>
              <w:t>关于进一步加强城乡建设用地增减挂钩试点和农村工地整治管理的意见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关于印发《滕州市房地产开发项目规划建设条件意见书制度》的通知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关于进一步规范城市规划建设监督管理的意见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关于进一步加强财政收支预算管理的意见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关于推进城乡环卫一体化的意见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11"/>
                <w:sz w:val="24"/>
                <w:szCs w:val="24"/>
                <w14:textFill>
                  <w14:solidFill>
                    <w14:schemeClr w14:val="tx1"/>
                  </w14:solidFill>
                </w14:textFill>
              </w:rPr>
              <w:t>关于贯彻落实枣政发[2012]46号文件进一步加强和改进消防工作的意见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市公安局（消防大队）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49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129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关于印发《关于解决房地产建设项目历史遗留问题的有关意见的通知》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关于推进工业项目土地供应工作的若干意见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关于规范企业房地产抵押贷款评估登记行为的意见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关于加强退役士兵职业教育和技能培训工作的实施意见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关于进一步规范房地产开发项目竣工综合验收收备案工作的通知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tabs>
                <w:tab w:val="left" w:pos="1035"/>
              </w:tabs>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关于推进新型农村社区物业管理工作的实施意见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90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关于印发《滕州市户外广告设置管理办法》的通知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关于开展集中行政复议权工作的决定</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市法制办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关于对全市60岁以上老年人参加新型农村合作医疗合作医疗费用减免的通知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市老龄办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关于优化营商环境的实施意见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市政务服务中心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关于印发《滕州市二次供水管理办法》的通知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60</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kern w:val="0"/>
                <w:sz w:val="24"/>
                <w:szCs w:val="24"/>
                <w:lang w:bidi="ar"/>
              </w:rPr>
              <w:t>13</w:t>
            </w:r>
            <w:r>
              <w:rPr>
                <w:rFonts w:hint="eastAsia" w:ascii="仿宋_GB2312" w:hAnsi="宋体" w:eastAsia="仿宋_GB2312" w:cs="仿宋_GB2312"/>
                <w:color w:val="000000"/>
                <w:kern w:val="0"/>
                <w:sz w:val="24"/>
                <w:szCs w:val="24"/>
                <w:lang w:eastAsia="zh-CN" w:bidi="ar"/>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关于进一步优化金融生态环境的意见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sz w:val="24"/>
                <w:szCs w:val="24"/>
                <w:lang w:eastAsia="zh-CN"/>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61</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15</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关于对先行建设违法用地补办供地手续的意见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62</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17</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关于加快社会养老服务体系建设的意见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63</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20</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关于进一步推进节约集约用地的实施意见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64</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41</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关于印发《滨湖镇土地收储工作实施意见》的通知</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65</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50</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关于对已取得土地的先行建设项目补办建设工程规划许可手续的意见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66</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56</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关于进一步加强职工互助医疗保障活动的意见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市总工会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67</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59</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关于做好城市规划区内国有土地使用权收回（收购）工作的意见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市法制办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68</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64</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关于在全市推行行政权力清单制度的通知</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69</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66</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关于加强城区道路交通车辆管理的意见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70</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79</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关于加快电子商务发展的意见</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市旅服局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71</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85</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关于印发《滕州市水利工程管理办法》的通知</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72</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88</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3"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关于印发《滕州市级行政审批事项目录清单》的通知</w:t>
            </w:r>
          </w:p>
        </w:tc>
        <w:tc>
          <w:tcPr>
            <w:tcW w:w="2900"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关于进一步规范城乡建设用地增减挂钩试点工作的意见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印发《滕州市小型水利工程建设管理办法》的通知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关于公布滕州市级行政权力清单的通知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关于建立居民基本养老保险制度的实施意见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关于做好农民专业合作社信用互助业务试点工作的实施意见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关于公布市级政府部门责任清单有关事宜的通知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50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关于公布市直印发（单位）行政审批中介服务收费项目清单的通知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64</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关于进一步落实涉河建筑物管养权限的通知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关于印发《滕州市住宅小区房屋登记历史遗留问题专项治理工作实施细则》的通知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关于加快发展</w:t>
            </w:r>
            <w:r>
              <w:rPr>
                <w:rFonts w:hint="eastAsia" w:ascii="仿宋_GB2312" w:hAnsi="仿宋_GB2312" w:eastAsia="仿宋_GB2312" w:cs="仿宋_GB2312"/>
                <w:color w:val="000000" w:themeColor="text1"/>
                <w:sz w:val="24"/>
                <w:szCs w:val="24"/>
                <w:lang w:eastAsia="zh-CN"/>
                <w14:textFill>
                  <w14:solidFill>
                    <w14:schemeClr w14:val="tx1"/>
                  </w14:solidFill>
                </w14:textFill>
              </w:rPr>
              <w:t>养老服务业的意见</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滕州市建设项目交通影响评价管理办法的通知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关于调整行政审批事项目录清单和行政权力清单的通知</w:t>
            </w:r>
          </w:p>
        </w:tc>
        <w:tc>
          <w:tcPr>
            <w:tcW w:w="2900"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关于印发《滕州市社会救助办法》的通知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关于印发《滕州市科技创新专项资金管理暂行办法》的通知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关于加快电子商务发展的意见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市商务局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关于印发《滕州市农村生活污水治理工作实施意见》的通知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关于印发《滕州市国有土地上房屋征收与补偿实施意见》的通知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关于印发《滕州市国有土地上房屋征收范围内未经登记的建筑调查认定处理实施细则》的通知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关于印发《滕州市国有土地上房屋征收与补偿工作规程》的通知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44</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关于印发《滕州市“城中村”集体土地上房屋搬迁补偿办法》的通知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关于印发《滕州市棚户区改造货币化安置实施意见》的通知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51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关于加快发展体育产业促进体育消费的实施意见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关于调整市直部门（单位）行政审批中介服务收费项目清单的通知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市物价局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关于进一步加强城市建筑垃圾管理工作的实施意见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关于印发《滕州市城市建筑垃圾管理工作细则》的通知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关于进一步完善现代职业教育体系的意见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关于2016年第一批调整行政权力清单的通知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96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关于加快推进装修住宅建设的意见</w:t>
            </w:r>
            <w:r>
              <w:rPr>
                <w:rFonts w:hint="eastAsia" w:ascii="仿宋_GB2312" w:hAnsi="仿宋_GB2312" w:eastAsia="仿宋_GB2312" w:cs="仿宋_GB2312"/>
                <w:color w:val="000000" w:themeColor="text1"/>
                <w:sz w:val="24"/>
                <w:szCs w:val="24"/>
                <w:lang w:eastAsia="zh-CN"/>
                <w14:textFill>
                  <w14:solidFill>
                    <w14:schemeClr w14:val="tx1"/>
                  </w14:solidFill>
                </w14:textFill>
              </w:rPr>
              <w:t>（试行）</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关于印发《滕州市人民政府重大行政决策程序规定》的通知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市法制办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关于印发《滕州市农村环境综合整治工作实施方案》的通知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关于进一步做好未经登记建筑调查认定处理工作的补充意见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关于工业供水综合水价改革的意见</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市水利和渔业局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120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关于2016年第二批调整行政权力清单的通知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123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3"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关于公布市政府规范性文件清理结果的决定</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市法制办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滕政办发〔2003〕13号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关于印发《市国土资源局等单位贯彻&lt;枣庄市国有土地租赁办法&gt;的实施意见》的通知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滕政办发〔2003〕99号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关于印发《滕州市人口与计划生育公益金管理办法》的通知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109</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t>滕政办发〔2003〕119号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4"/>
                <w:sz w:val="24"/>
                <w:szCs w:val="24"/>
                <w:vertAlign w:val="baseline"/>
                <w:lang w:val="en-US" w:eastAsia="zh-CN"/>
                <w14:textFill>
                  <w14:solidFill>
                    <w14:schemeClr w14:val="tx1"/>
                  </w14:solidFill>
                </w14:textFill>
              </w:rPr>
              <w:t>印发《关于完善破产企业职工社会保险手续的意见》的通知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110</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滕政办发〔2005〕83号</w:t>
            </w:r>
          </w:p>
        </w:tc>
        <w:tc>
          <w:tcPr>
            <w:tcW w:w="7275"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lang w:val="en-US" w:eastAsia="zh-CN"/>
                <w14:textFill>
                  <w14:solidFill>
                    <w14:schemeClr w14:val="tx1"/>
                  </w14:solidFill>
                </w14:textFill>
              </w:rPr>
              <w:t>转发《滕州经济开发区管委会关于完善区内企业建设手续意见》的通知</w:t>
            </w:r>
          </w:p>
        </w:tc>
        <w:tc>
          <w:tcPr>
            <w:tcW w:w="2900"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经济开发区管委会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30号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关于印发《滕州市劳动模范评选管理办法》的通知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市总工会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滕政办发〔2008〕40号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关于印发《滕州市公共场所禁止吸烟规定》的通知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113</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86号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关于印发《滕州市农村敬老院管理服务暂行办法》的通知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114</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7"/>
                <w:sz w:val="24"/>
                <w:szCs w:val="24"/>
                <w:vertAlign w:val="baseline"/>
                <w:lang w:val="en-US" w:eastAsia="zh-CN"/>
                <w14:textFill>
                  <w14:solidFill>
                    <w14:schemeClr w14:val="tx1"/>
                  </w14:solidFill>
                </w14:textFill>
              </w:rPr>
              <w:t>滕政办发〔2008〕112号</w:t>
            </w:r>
          </w:p>
        </w:tc>
        <w:tc>
          <w:tcPr>
            <w:tcW w:w="7275"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关于印发《滕州市关于加强城镇社区和农村安全网络建设工作的意见》的通知</w:t>
            </w:r>
          </w:p>
        </w:tc>
        <w:tc>
          <w:tcPr>
            <w:tcW w:w="2900"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滕政办发〔2010〕39号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关于调整我市国有土地租金征收标准的通知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116</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64号</w:t>
            </w:r>
          </w:p>
        </w:tc>
        <w:tc>
          <w:tcPr>
            <w:tcW w:w="7273"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关于推进住宅产业化提高住宅品质的实施意见</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117</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滕政办发〔2010〕85号</w:t>
            </w:r>
          </w:p>
        </w:tc>
        <w:tc>
          <w:tcPr>
            <w:tcW w:w="7275"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关于进一步加快我市存量公有住房出售解决房改遗留问题的通知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118</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关于在城市规划区内禁止现场搅拌混凝土的通知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119</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转发《市经信局、财政局、住建局关于做好农村推广散装水泥工作意见》的通知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120</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14号</w:t>
            </w:r>
          </w:p>
        </w:tc>
        <w:tc>
          <w:tcPr>
            <w:tcW w:w="7275" w:type="dxa"/>
            <w:gridSpan w:val="4"/>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关于进一步做好控制义务教育阶段学生辍学工作的通知</w:t>
            </w:r>
          </w:p>
        </w:tc>
        <w:tc>
          <w:tcPr>
            <w:tcW w:w="2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2011</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22号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关于加快城镇居住区邮政信报箱建设管理工作的意见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市邮政局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122</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滕政办发〔2011〕93号</w:t>
            </w:r>
          </w:p>
        </w:tc>
        <w:tc>
          <w:tcPr>
            <w:tcW w:w="7275"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关于印发《滕州市地下管线规划建设管理办法》的通知</w:t>
            </w:r>
          </w:p>
        </w:tc>
        <w:tc>
          <w:tcPr>
            <w:tcW w:w="2898"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123</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t>滕政办发〔2011〕141号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关于印发《滕州市城市建设档案管理办法》的通知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关于推进全市义务教育均衡发展的意见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关于做好全市消除麻疹工作的通知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关于加强村卫生室和乡村医生队伍建设的实施意见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关于进一步加强森林防火能力建设的实施意见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关于进一步加强和改进劳动保障监察工作的实施意见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关于印发《滕州市市级行政许可事项一口收费管理办法》的通知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市政务服务中心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关于加强气象灾害监测预警及信息发布工作的实施意见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市气象局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关于印发《滕州市新建小区配套建设体育设施的实施意见》的通知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关于进一步加强镇（街）农产品质量安全监管工作的通知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关于建立城区住宅小区配套幼儿园长效管理机制的通知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149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关于开展美丽乡村创建试点活动的实施意见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市宣传部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135</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25</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关于创建创业型镇街创业型社区工作的通知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136</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57</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关于提高城乡居民最低生活保障和五保供养标准的通知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137</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70</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关于规范镇域燃气市场管理工作的通知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138</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81</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关于转发《市总工会关于开展“爱我滕州”职工志愿服务活动的实施意见》的通知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市总工会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139</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99</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top"/>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关于印发《滕州市城区机动车停放服务收费管理实施方案》的通知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140</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102</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关于印发《数字滕州地理空间框架建设使用与管理办法》的通知</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141</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108</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4"/>
            <w:vAlign w:val="top"/>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关于加快我市建筑节能与结构一体化技术应用工作的意见</w:t>
            </w:r>
          </w:p>
        </w:tc>
        <w:tc>
          <w:tcPr>
            <w:tcW w:w="2896"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关于贯彻落实枣政办发﹝2014﹞39号文件精神促进煤炭行业平稳运行的意见</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关于调整城镇职工医疗保险个人账户金划拨办法的通知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53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关于滕州马铃薯省级农业科技园区建设的意见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市科技局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关于在全市执行应用预拌砂浆和城区限期禁止现场搅拌砂浆的通知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64</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关于印发“滕州和谐使者”选拔管理办法的通知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关于进一步加强村（居）红白理事会建设开展移风易俗活动的通知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96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关于学习环卫保洁“中卫经验”进一步加强城市精细化管理的通知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149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100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关于提高农村居民最低生活保障补助标准的通知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11"/>
                <w:sz w:val="24"/>
                <w:szCs w:val="24"/>
                <w14:textFill>
                  <w14:solidFill>
                    <w14:schemeClr w14:val="tx1"/>
                  </w14:solidFill>
                </w14:textFill>
              </w:rPr>
              <w:t>关于印发《滕州市中小学校责任督学挂牌督导工作规程（试行）》的通知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134</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转发市人防办等四部门关于加强新建民用建筑地下防空设施的通知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关于加强安全环保节能管理加快全市化工产业转型的意见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153</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关于印发《滕州市政务服务惠民网络体系建设实施意见》的通知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市政务服务中心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154</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14:textFill>
                  <w14:solidFill>
                    <w14:schemeClr w14:val="tx1"/>
                  </w14:solidFill>
                </w14:textFill>
              </w:rPr>
              <w:t>关于印发《滕州市中小企业公共服务平台运营管理绩效考评暂行办法》的通知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市经信局（中小企业局）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155</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关于明确部分化工危险化学品和医药加工企业安全监管责任的通知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47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关于严厉打击盗采矿产资源违法行为的通知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市国土资源局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关于进一步加强乡村医生队伍建设的实施意见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关于印发《滕州市林地经营权流转证发证管理办法（试行）》的通知</w:t>
            </w:r>
          </w:p>
        </w:tc>
        <w:tc>
          <w:tcPr>
            <w:tcW w:w="2896"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159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关于推进机关企事业单位厕所免费对外开放的通知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160</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关于加强全市电梯安全管理的意见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市质监局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161</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关于建立年度全市1%人口抽样调查制度的通知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市统计局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162</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6"/>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关于印发《滕州市生产安全事故报告、案审和公示暂行规定》的通知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163</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87</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spacing w:val="-6"/>
                <w:sz w:val="24"/>
                <w:szCs w:val="24"/>
              </w:rPr>
              <w:t>关于城区住宅小区规划红线内供热设施移交供热企业管理使用的通知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sz w:val="24"/>
                <w:szCs w:val="24"/>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164</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96</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关于印发《滕州市流动儿童免疫规划管理办法》的通知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165</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98</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sz w:val="24"/>
                <w:szCs w:val="24"/>
              </w:rPr>
              <w:t>关于进一步做好建筑企业养老保障金管理工作的通知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sz w:val="24"/>
                <w:szCs w:val="24"/>
                <w:lang w:eastAsia="zh-CN"/>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166</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101</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关于进一步加强职业病防治工作的通知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167</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104</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sz w:val="24"/>
                <w:szCs w:val="24"/>
              </w:rPr>
              <w:t>关于进一步做好农村土地承包管理工作的通知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sz w:val="24"/>
                <w:szCs w:val="24"/>
                <w:lang w:eastAsia="zh-CN"/>
              </w:rPr>
              <w:t>市经管局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168</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108</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关于印发《滕州市集中供热管理实施办法》的通知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169</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121</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关于加快推进全市煤炭清洁高效利用工作的实施意见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170</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122</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sz w:val="24"/>
                <w:szCs w:val="24"/>
              </w:rPr>
              <w:t>关于印发《滕州市大气污染防治技术</w:t>
            </w:r>
            <w:r>
              <w:rPr>
                <w:rFonts w:hint="eastAsia" w:ascii="仿宋_GB2312" w:hAnsi="仿宋_GB2312" w:eastAsia="仿宋_GB2312" w:cs="仿宋_GB2312"/>
                <w:sz w:val="24"/>
                <w:szCs w:val="24"/>
                <w:lang w:eastAsia="zh-CN"/>
              </w:rPr>
              <w:t>导</w:t>
            </w:r>
            <w:r>
              <w:rPr>
                <w:rFonts w:hint="eastAsia" w:ascii="仿宋_GB2312" w:hAnsi="仿宋_GB2312" w:eastAsia="仿宋_GB2312" w:cs="仿宋_GB2312"/>
                <w:sz w:val="24"/>
                <w:szCs w:val="24"/>
              </w:rPr>
              <w:t>则》的通知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sz w:val="24"/>
                <w:szCs w:val="24"/>
                <w:lang w:eastAsia="zh-CN"/>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171</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auto"/>
                <w:sz w:val="24"/>
                <w:szCs w:val="24"/>
              </w:rPr>
              <w:t>123</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rPr>
              <w:t>关于加快电子政务集约化发展的实施意见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w:t>
            </w:r>
            <w:r>
              <w:rPr>
                <w:rFonts w:hint="eastAsia" w:ascii="仿宋_GB2312" w:hAnsi="仿宋_GB2312" w:eastAsia="仿宋_GB2312" w:cs="仿宋_GB2312"/>
                <w:color w:val="auto"/>
                <w:sz w:val="24"/>
                <w:szCs w:val="24"/>
                <w:lang w:eastAsia="zh-CN"/>
              </w:rPr>
              <w:t>信息化服务中心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172</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131</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关于统筹整合使用财政涉农资金支持脱贫攻坚的意见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市扶贫办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173</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137</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关于进一步规范社会抚养费征收管理有关问题的通知</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174</w:t>
            </w:r>
          </w:p>
        </w:tc>
        <w:tc>
          <w:tcPr>
            <w:tcW w:w="2790" w:type="dxa"/>
            <w:gridSpan w:val="2"/>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z w:val="24"/>
                <w:szCs w:val="24"/>
              </w:rPr>
              <w:t>138</w:t>
            </w:r>
            <w:r>
              <w:rPr>
                <w:rFonts w:hint="eastAsia" w:ascii="仿宋_GB2312" w:hAnsi="仿宋_GB2312" w:eastAsia="仿宋_GB2312" w:cs="仿宋_GB2312"/>
                <w:sz w:val="24"/>
                <w:szCs w:val="24"/>
                <w:lang w:eastAsia="zh-CN"/>
              </w:rPr>
              <w:t>号</w:t>
            </w:r>
          </w:p>
        </w:tc>
        <w:tc>
          <w:tcPr>
            <w:tcW w:w="7275"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关于推进分级诊疗制度建设的实施意见</w:t>
            </w:r>
          </w:p>
        </w:tc>
        <w:tc>
          <w:tcPr>
            <w:tcW w:w="2896" w:type="dxa"/>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市卫计局</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319" w:beforeLines="100" w:after="319" w:afterLines="100" w:line="560" w:lineRule="exact"/>
        <w:ind w:left="0" w:leftChars="0" w:right="0" w:rightChars="0" w:firstLine="320" w:firstLineChars="100"/>
        <w:jc w:val="both"/>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二、需要修改的规范性文件目录</w:t>
      </w:r>
    </w:p>
    <w:tbl>
      <w:tblPr>
        <w:tblStyle w:val="7"/>
        <w:tblW w:w="13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88"/>
        <w:gridCol w:w="2"/>
        <w:gridCol w:w="7273"/>
        <w:gridCol w:w="2"/>
        <w:gridCol w:w="2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序号</w:t>
            </w:r>
          </w:p>
        </w:tc>
        <w:tc>
          <w:tcPr>
            <w:tcW w:w="27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文</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号</w:t>
            </w:r>
          </w:p>
        </w:tc>
        <w:tc>
          <w:tcPr>
            <w:tcW w:w="7275"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文</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件</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名</w:t>
            </w:r>
            <w:r>
              <w:rPr>
                <w:rFonts w:hint="eastAsia" w:ascii="黑体" w:hAnsi="黑体" w:eastAsia="黑体" w:cs="黑体"/>
                <w:color w:val="000000" w:themeColor="text1"/>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z w:val="24"/>
                <w:szCs w:val="24"/>
                <w:vertAlign w:val="baseline"/>
                <w:lang w:eastAsia="zh-CN"/>
                <w14:textFill>
                  <w14:solidFill>
                    <w14:schemeClr w14:val="tx1"/>
                  </w14:solidFill>
                </w14:textFill>
              </w:rPr>
              <w:t>称</w:t>
            </w:r>
          </w:p>
        </w:tc>
        <w:tc>
          <w:tcPr>
            <w:tcW w:w="2934"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z w:val="24"/>
                <w:szCs w:val="24"/>
                <w:vertAlign w:val="baseline"/>
                <w:lang w:eastAsia="zh-CN"/>
                <w14:textFill>
                  <w14:solidFill>
                    <w14:schemeClr w14:val="tx1"/>
                  </w14:solidFill>
                </w14:textFill>
              </w:rPr>
            </w:pPr>
            <w:r>
              <w:rPr>
                <w:rFonts w:hint="eastAsia" w:ascii="黑体" w:hAnsi="黑体" w:eastAsia="黑体" w:cs="黑体"/>
                <w:color w:val="000000" w:themeColor="text1"/>
                <w:sz w:val="24"/>
                <w:szCs w:val="24"/>
                <w:vertAlign w:val="baseline"/>
                <w:lang w:eastAsia="zh-CN"/>
                <w14:textFill>
                  <w14:solidFill>
                    <w14:schemeClr w14:val="tx1"/>
                  </w14:solidFill>
                </w14:textFill>
              </w:rPr>
              <w:t>修改责任部门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2003</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37号</w:t>
            </w:r>
          </w:p>
        </w:tc>
        <w:tc>
          <w:tcPr>
            <w:tcW w:w="7275"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关于印发《市国有资产经营性收入收缴管理意见》的通知</w:t>
            </w:r>
          </w:p>
        </w:tc>
        <w:tc>
          <w:tcPr>
            <w:tcW w:w="29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54号</w:t>
            </w:r>
          </w:p>
        </w:tc>
        <w:tc>
          <w:tcPr>
            <w:tcW w:w="7275"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关于加强国有资产监督管理的意见</w:t>
            </w:r>
          </w:p>
        </w:tc>
        <w:tc>
          <w:tcPr>
            <w:tcW w:w="29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3</w:t>
            </w:r>
          </w:p>
        </w:tc>
        <w:tc>
          <w:tcPr>
            <w:tcW w:w="27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98号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关于加快建筑业改革和发展的意见</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4</w:t>
            </w:r>
          </w:p>
        </w:tc>
        <w:tc>
          <w:tcPr>
            <w:tcW w:w="27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29号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关于印发《滕州市生产安全事故隐患排查治理办法》的通知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szCs w:val="24"/>
                <w:vertAlign w:val="baseline"/>
                <w:lang w:val="en-US"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5</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117号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w:t>
            </w:r>
            <w:r>
              <w:rPr>
                <w:rFonts w:hint="eastAsia" w:ascii="仿宋_GB2312" w:hAnsi="仿宋_GB2312" w:eastAsia="仿宋_GB2312" w:cs="仿宋_GB2312"/>
                <w:b w:val="0"/>
                <w:bCs w:val="0"/>
                <w:color w:val="000000" w:themeColor="text1"/>
                <w:spacing w:val="-7"/>
                <w:sz w:val="24"/>
                <w:szCs w:val="24"/>
                <w:vertAlign w:val="baseline"/>
                <w:lang w:val="en-US" w:eastAsia="zh-CN"/>
                <w14:textFill>
                  <w14:solidFill>
                    <w14:schemeClr w14:val="tx1"/>
                  </w14:solidFill>
                </w14:textFill>
              </w:rPr>
              <w:t>于印发《滕州市工程建设各方主体安全行为规范暂行规定》的通知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滕政发〔2011〕128号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关于印发《滕州市高铁东站站前广场管理暂行办法》的通知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高铁新区管委会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7</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120</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关于印发《关于简化建设工程招投标、政府采购程序的暂行规定》的通知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8</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33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关于进一步加强和规范统计基层基础工作的意见</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市统计局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9</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59</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关于印发《滕州市城区扬尘污染防治实施办法》的通知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10</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4</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关于印发《滕州市城市规划管理技术规定（试行）》的通知</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11</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27</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关于规范城乡建设及三产服务业项目优惠政策审核工作的意见</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pacing w:val="-5"/>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12</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54</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关于规范棚户区改造项目投资建设的意见</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pacing w:val="-5"/>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13</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83</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关于印发《滕州市城市景观亮化管理实施办法》的通知</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pacing w:val="-5"/>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14</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63</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关于贯彻落实《计量发展规划（</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2013-2020</w:t>
            </w:r>
            <w:r>
              <w:rPr>
                <w:rFonts w:hint="eastAsia" w:ascii="仿宋_GB2312" w:hAnsi="仿宋_GB2312" w:eastAsia="仿宋_GB2312" w:cs="仿宋_GB2312"/>
                <w:color w:val="000000" w:themeColor="text1"/>
                <w:sz w:val="24"/>
                <w:szCs w:val="24"/>
                <w:lang w:eastAsia="zh-CN"/>
                <w14:textFill>
                  <w14:solidFill>
                    <w14:schemeClr w14:val="tx1"/>
                  </w14:solidFill>
                </w14:textFill>
              </w:rPr>
              <w:t>）》的实施意见</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市质监局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15</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关于建立全市企业信用档案的通知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16</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关于进一步做好城市亮化工作的通知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17</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24</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关于印发《滕州市棚户区改造项目国家开发银行贷款资金管理暂行办法》的通知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18</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61</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关于印发《滕州市行政权力清单动态管理办法》的通知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19</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65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关于加快质量强市建设工作的意见</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市质监局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75</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关于印发《滕州市“门前三包”责任制管理办法》的通知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21</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117</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关于印发《滕州市安全生产举报受理及奖励办法》的通知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22</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6"/>
                <w:sz w:val="24"/>
                <w:szCs w:val="24"/>
                <w:vertAlign w:val="baseline"/>
                <w:lang w:val="en-US" w:eastAsia="zh-CN"/>
                <w14:textFill>
                  <w14:solidFill>
                    <w14:schemeClr w14:val="tx1"/>
                  </w14:solidFill>
                </w14:textFill>
              </w:rPr>
              <w:t>滕政办发〔2011〕128号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1"/>
                <w:sz w:val="24"/>
                <w:szCs w:val="24"/>
                <w:vertAlign w:val="baseline"/>
                <w:lang w:val="en-US" w:eastAsia="zh-CN"/>
                <w14:textFill>
                  <w14:solidFill>
                    <w14:schemeClr w14:val="tx1"/>
                  </w14:solidFill>
                </w14:textFill>
              </w:rPr>
              <w:t>关于印发《滕州市项目储备库建设与管理实施办法（暂行）》的通知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23</w:t>
            </w:r>
          </w:p>
        </w:tc>
        <w:tc>
          <w:tcPr>
            <w:tcW w:w="27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6"/>
                <w:sz w:val="24"/>
                <w:szCs w:val="24"/>
                <w:vertAlign w:val="baseline"/>
                <w:lang w:val="en-US" w:eastAsia="zh-CN"/>
                <w14:textFill>
                  <w14:solidFill>
                    <w14:schemeClr w14:val="tx1"/>
                  </w14:solidFill>
                </w14:textFill>
              </w:rPr>
              <w:t>滕政办发〔2011〕129号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关于印发《&lt;固定资产投资项目节能评估和审查暂行办法&gt;实施细则（试行）》的通知</w:t>
            </w:r>
          </w:p>
        </w:tc>
        <w:tc>
          <w:tcPr>
            <w:tcW w:w="293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24</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52</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关于印发《滕州市民间融资登记服务公司管理暂行办法》的通知</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25</w:t>
            </w:r>
          </w:p>
        </w:tc>
        <w:tc>
          <w:tcPr>
            <w:tcW w:w="2790" w:type="dxa"/>
            <w:gridSpan w:val="2"/>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24"/>
                <w:szCs w:val="24"/>
                <w:lang w:bidi="ar"/>
                <w14:textFill>
                  <w14:solidFill>
                    <w14:schemeClr w14:val="tx1"/>
                  </w14:solidFill>
                </w14:textFill>
              </w:rPr>
              <w:t>53</w:t>
            </w:r>
            <w:r>
              <w:rPr>
                <w:rFonts w:hint="eastAsia" w:ascii="仿宋_GB2312" w:hAnsi="仿宋_GB2312" w:eastAsia="仿宋_GB2312" w:cs="仿宋_GB2312"/>
                <w:snapToGrid w:val="0"/>
                <w:color w:val="000000" w:themeColor="text1"/>
                <w:kern w:val="0"/>
                <w:sz w:val="24"/>
                <w:szCs w:val="24"/>
                <w:lang w:eastAsia="zh-CN" w:bidi="ar"/>
                <w14:textFill>
                  <w14:solidFill>
                    <w14:schemeClr w14:val="tx1"/>
                  </w14:solidFill>
                </w14:textFill>
              </w:rPr>
              <w:t>号</w:t>
            </w:r>
          </w:p>
        </w:tc>
        <w:tc>
          <w:tcPr>
            <w:tcW w:w="7275" w:type="dxa"/>
            <w:gridSpan w:val="2"/>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b w:val="0"/>
                <w:bCs w:val="0"/>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14:textFill>
                  <w14:solidFill>
                    <w14:schemeClr w14:val="tx1"/>
                  </w14:solidFill>
                </w14:textFill>
              </w:rPr>
              <w:t>关于印发《滕州市民间资本管理公司管理暂行办法》的通知</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vertAlign w:val="baseline"/>
                <w:lang w:val="en-US" w:eastAsia="zh-CN"/>
                <w14:textFill>
                  <w14:solidFill>
                    <w14:schemeClr w14:val="tx1"/>
                  </w14:solidFill>
                </w14:textFill>
              </w:rPr>
              <w:t>26</w:t>
            </w:r>
          </w:p>
        </w:tc>
        <w:tc>
          <w:tcPr>
            <w:tcW w:w="2790"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7275" w:type="dxa"/>
            <w:gridSpan w:val="2"/>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snapToGrid w:val="0"/>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关于房地产开发项目选用品牌电梯的通知</w:t>
            </w:r>
          </w:p>
        </w:tc>
        <w:tc>
          <w:tcPr>
            <w:tcW w:w="2932"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center"/>
              <w:outlineLvl w:val="9"/>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24"/>
                <w:szCs w:val="24"/>
                <w:lang w:eastAsia="zh-CN"/>
                <w14:textFill>
                  <w14:solidFill>
                    <w14:schemeClr w14:val="tx1"/>
                  </w14:solidFill>
                </w14:textFill>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27</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76</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关于改造城区市场</w:t>
            </w:r>
            <w:r>
              <w:rPr>
                <w:rFonts w:hint="eastAsia" w:ascii="仿宋_GB2312" w:hAnsi="仿宋_GB2312" w:eastAsia="仿宋_GB2312" w:cs="仿宋_GB2312"/>
                <w:color w:val="000000" w:themeColor="text1"/>
                <w:sz w:val="24"/>
                <w:szCs w:val="24"/>
                <w:lang w:eastAsia="zh-CN"/>
                <w14:textFill>
                  <w14:solidFill>
                    <w14:schemeClr w14:val="tx1"/>
                  </w14:solidFill>
                </w14:textFill>
              </w:rPr>
              <w:t>内</w:t>
            </w:r>
            <w:r>
              <w:rPr>
                <w:rFonts w:hint="eastAsia" w:ascii="仿宋_GB2312" w:hAnsi="仿宋_GB2312" w:eastAsia="仿宋_GB2312" w:cs="仿宋_GB2312"/>
                <w:color w:val="000000" w:themeColor="text1"/>
                <w:sz w:val="24"/>
                <w:szCs w:val="24"/>
                <w14:textFill>
                  <w14:solidFill>
                    <w14:schemeClr w14:val="tx1"/>
                  </w14:solidFill>
                </w14:textFill>
              </w:rPr>
              <w:t>公</w:t>
            </w:r>
            <w:r>
              <w:rPr>
                <w:rFonts w:hint="eastAsia" w:ascii="仿宋_GB2312" w:hAnsi="仿宋_GB2312" w:eastAsia="仿宋_GB2312" w:cs="仿宋_GB2312"/>
                <w:color w:val="000000" w:themeColor="text1"/>
                <w:sz w:val="24"/>
                <w:szCs w:val="24"/>
                <w:lang w:eastAsia="zh-CN"/>
                <w14:textFill>
                  <w14:solidFill>
                    <w14:schemeClr w14:val="tx1"/>
                  </w14:solidFill>
                </w14:textFill>
              </w:rPr>
              <w:t>共</w:t>
            </w:r>
            <w:r>
              <w:rPr>
                <w:rFonts w:hint="eastAsia" w:ascii="仿宋_GB2312" w:hAnsi="仿宋_GB2312" w:eastAsia="仿宋_GB2312" w:cs="仿宋_GB2312"/>
                <w:color w:val="000000" w:themeColor="text1"/>
                <w:sz w:val="24"/>
                <w:szCs w:val="24"/>
                <w14:textFill>
                  <w14:solidFill>
                    <w14:schemeClr w14:val="tx1"/>
                  </w14:solidFill>
                </w14:textFill>
              </w:rPr>
              <w:t>厕</w:t>
            </w:r>
            <w:r>
              <w:rPr>
                <w:rFonts w:hint="eastAsia" w:ascii="仿宋_GB2312" w:hAnsi="仿宋_GB2312" w:eastAsia="仿宋_GB2312" w:cs="仿宋_GB2312"/>
                <w:color w:val="000000" w:themeColor="text1"/>
                <w:sz w:val="24"/>
                <w:szCs w:val="24"/>
                <w:lang w:eastAsia="zh-CN"/>
                <w14:textFill>
                  <w14:solidFill>
                    <w14:schemeClr w14:val="tx1"/>
                  </w14:solidFill>
                </w14:textFill>
              </w:rPr>
              <w:t>所</w:t>
            </w:r>
            <w:r>
              <w:rPr>
                <w:rFonts w:hint="eastAsia" w:ascii="仿宋_GB2312" w:hAnsi="仿宋_GB2312" w:eastAsia="仿宋_GB2312" w:cs="仿宋_GB2312"/>
                <w:color w:val="000000" w:themeColor="text1"/>
                <w:sz w:val="24"/>
                <w:szCs w:val="24"/>
                <w14:textFill>
                  <w14:solidFill>
                    <w14:schemeClr w14:val="tx1"/>
                  </w14:solidFill>
                </w14:textFill>
              </w:rPr>
              <w:t>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28</w:t>
            </w:r>
          </w:p>
        </w:tc>
        <w:tc>
          <w:tcPr>
            <w:tcW w:w="2788"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bCs/>
                <w:color w:val="000000" w:themeColor="text1"/>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88</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7275"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关于进一步办理城区环境卫生管理的通知</w:t>
            </w:r>
          </w:p>
        </w:tc>
        <w:tc>
          <w:tcPr>
            <w:tcW w:w="2934"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市综合行政执法局</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319" w:beforeLines="100" w:after="319" w:afterLines="100" w:line="560" w:lineRule="exact"/>
        <w:ind w:leftChars="0" w:right="0" w:rightChars="0" w:firstLine="320" w:firstLineChars="100"/>
        <w:jc w:val="both"/>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三、宣布废止和失效的规范性文件目录</w:t>
      </w:r>
    </w:p>
    <w:tbl>
      <w:tblPr>
        <w:tblStyle w:val="7"/>
        <w:tblW w:w="13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2812"/>
        <w:gridCol w:w="10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pacing w:val="0"/>
                <w:sz w:val="24"/>
                <w:szCs w:val="24"/>
                <w:vertAlign w:val="baseline"/>
                <w:lang w:eastAsia="zh-CN"/>
                <w14:textFill>
                  <w14:solidFill>
                    <w14:schemeClr w14:val="tx1"/>
                  </w14:solidFill>
                </w14:textFill>
              </w:rPr>
            </w:pP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序号</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pacing w:val="0"/>
                <w:sz w:val="24"/>
                <w:szCs w:val="24"/>
                <w:vertAlign w:val="baseline"/>
                <w:lang w:eastAsia="zh-CN"/>
                <w14:textFill>
                  <w14:solidFill>
                    <w14:schemeClr w14:val="tx1"/>
                  </w14:solidFill>
                </w14:textFill>
              </w:rPr>
            </w:pP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文</w:t>
            </w:r>
            <w:r>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号</w:t>
            </w:r>
          </w:p>
        </w:tc>
        <w:tc>
          <w:tcPr>
            <w:tcW w:w="1015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pacing w:val="0"/>
                <w:sz w:val="24"/>
                <w:szCs w:val="24"/>
                <w:vertAlign w:val="baseline"/>
                <w:lang w:eastAsia="zh-CN"/>
                <w14:textFill>
                  <w14:solidFill>
                    <w14:schemeClr w14:val="tx1"/>
                  </w14:solidFill>
                </w14:textFill>
              </w:rPr>
            </w:pP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文</w:t>
            </w:r>
            <w:r>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件</w:t>
            </w:r>
            <w:r>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名</w:t>
            </w:r>
            <w:r>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t xml:space="preserve"> </w:t>
            </w:r>
            <w:r>
              <w:rPr>
                <w:rFonts w:hint="eastAsia" w:ascii="黑体" w:hAnsi="黑体" w:eastAsia="黑体" w:cs="黑体"/>
                <w:color w:val="000000" w:themeColor="text1"/>
                <w:spacing w:val="0"/>
                <w:sz w:val="24"/>
                <w:szCs w:val="24"/>
                <w:vertAlign w:val="baseline"/>
                <w:lang w:eastAsia="zh-CN"/>
                <w14:textFill>
                  <w14:solidFill>
                    <w14:schemeClr w14:val="tx1"/>
                  </w14:solidFill>
                </w14:textFill>
              </w:rPr>
              <w:t>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pPr>
            <w:r>
              <w:rPr>
                <w:rFonts w:hint="eastAsia" w:ascii="黑体" w:hAnsi="黑体" w:eastAsia="黑体" w:cs="黑体"/>
                <w:color w:val="000000" w:themeColor="text1"/>
                <w:spacing w:val="0"/>
                <w:sz w:val="24"/>
                <w:szCs w:val="24"/>
                <w:vertAlign w:val="baseline"/>
                <w:lang w:val="en-US" w:eastAsia="zh-CN"/>
                <w14:textFill>
                  <w14:solidFill>
                    <w14:schemeClr w14:val="tx1"/>
                  </w14:solidFill>
                </w14:textFill>
              </w:rPr>
              <w:t>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黑体" w:hAnsi="黑体" w:eastAsia="黑体" w:cs="黑体"/>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滕政发〔2003〕38号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黑体" w:hAnsi="黑体" w:eastAsia="黑体" w:cs="黑体"/>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关于加快“退二进三”的意见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2004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42号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关于印发《滕州市重点项目管理办法》的通知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2005</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7号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关于贯彻《枣庄市城镇退役士兵安置任务有偿转移暂行办法》的通知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2005</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61号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关于开展城区居民已建房屋土地使用权审核确认和房屋所有权验证工作的意见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2007</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17号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于印发《滕州市机械制造工业园招商引资及入园优惠政策》的通知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6号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关于加快供销社改革发展服务社会主义新农村建设的意见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15号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关于严禁城市规划区内违法建设的管理意见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关于进一步加强对外经济合作工作的意见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2009</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26号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关于进一步加强地方税源控管工作的通知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2009</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128号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关于印发《滕州市新兴路步行街管理办法》的通知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2009</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137号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关于促进全市乡村旅游发展的意见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2009</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138号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关于印发《滕州市乡村旅游“五朵金花”建设实施》的通知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2009</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139号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关于印发《滕州市开发乡村旅游以奖代补标准》的通知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50号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关于加快机械制造业高层次人才引进的意见（试行）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15</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70号</w:t>
            </w:r>
          </w:p>
        </w:tc>
        <w:tc>
          <w:tcPr>
            <w:tcW w:w="10159"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关于深化农村土地使用产权制度改革的实施意见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16</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2010</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80号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关于印发《滕州市商品房预售款监督管理办法》的通知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关于加快土地供应提升节约集约用地水平的实施意见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关于加强红十字会工作的意见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关于印发《关于征收范围内未经登记建筑调查认定处理意见》的通知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关于调整国有土地上房屋征收附属物等补偿标准的通知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关于加快发展现代畜牧业的意见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关于开展“全省村级公路网化示范县”创建活动的实施意见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关于对重点排污单位实施限期治理的意见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关于印发《滕州市优待老年人规定》的通知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关于对先行建设违法用地办理供地手续的意见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关于加快森林公园发展的意见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关于重新公布市级行政处罚主体的通知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64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关于进一步加强矿山安全生产工作的意见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关于印发《滕州市重大投资项目审批服务管理暂行办法》的通知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关于转发省政府《关于开展“百镇建设示范行动”加快推进小城镇建设发展意见》的通知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关于印发《滕州市实施工业经济转型升级“双十双百”工程评选办法（试行）》的通知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关于贯彻鲁政发[2012]28号文件支持小型微型企业健康发展的实施意见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关于集中清理部分企业违法建筑完善房屋登记手续的意见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关于全面推进供销社改革发展的意见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sz w:val="24"/>
                <w:szCs w:val="24"/>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关于进一步加强出生人口性别比综合治理工作的通知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关于创建大项目产业集群发展金融示范区的实施意见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关于印发《滕州市银行业金融机构考核奖励办法》的通知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关于鼓励异地银行金融机构来我市设立分支机构优惠政策的通知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39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关于实施放心粮油工程的意见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105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关于进一步加强地方税收保障工作的实施意见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关于加快推进商标战略促进品牌建设工作的通知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关于提高城乡居民基本养老保险基础养老金标准的通知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关于扶持现代农业产业发展的意见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关于印发《滕州市建设项目交通影响评价管理办法（</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试</w:t>
            </w:r>
            <w:r>
              <w:rPr>
                <w:rFonts w:hint="eastAsia" w:ascii="仿宋_GB2312" w:hAnsi="仿宋_GB2312" w:eastAsia="仿宋_GB2312" w:cs="仿宋_GB2312"/>
                <w:color w:val="000000" w:themeColor="text1"/>
                <w:spacing w:val="0"/>
                <w:sz w:val="24"/>
                <w:szCs w:val="24"/>
                <w14:textFill>
                  <w14:solidFill>
                    <w14:schemeClr w14:val="tx1"/>
                  </w14:solidFill>
                </w14:textFill>
              </w:rPr>
              <w:t>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关于印发《滕州市生活无着流浪乞讨救治救助办法》的通知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关于进一步加强土地执法监察工作的意见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关于实施优质中小微企业培育计划的意见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关于进一步加强酒类流通管理工作的意见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49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关于进一步加强和推进节约集约用地制度的实施意见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关于印发《滕州市国有土地上国有和集体所有房屋征收补偿意见（试行）》的通知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关于印发《滕州市创建山东省教育工作示范县实施意见》的通知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关于印发《滕州市农村宅基地确权登记发证工作实施细则》的通知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关于印发《滕州市公共餐饮具集中消毒卫生管理办法》的通知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关于印发《滕州市学生小</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饭</w:t>
            </w:r>
            <w:r>
              <w:rPr>
                <w:rFonts w:hint="eastAsia" w:ascii="仿宋_GB2312" w:hAnsi="仿宋_GB2312" w:eastAsia="仿宋_GB2312" w:cs="仿宋_GB2312"/>
                <w:color w:val="000000" w:themeColor="text1"/>
                <w:spacing w:val="0"/>
                <w:sz w:val="24"/>
                <w:szCs w:val="24"/>
                <w14:textFill>
                  <w14:solidFill>
                    <w14:schemeClr w14:val="tx1"/>
                  </w14:solidFill>
                </w14:textFill>
              </w:rPr>
              <w:t>桌食品安全监督管理暂行办法》的通知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印发《滕州市农田水利基本建设项目考核奖励意见》的通知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关于实行创卫区域网格化帮包责任制的实施意见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关于印发《滕州市建设工程规划批后管理办法》的通知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关于明确城市建成区内市政园林设施养护管理责任的实施意见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59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tabs>
                <w:tab w:val="left" w:pos="1035"/>
              </w:tabs>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关于理顺环境卫生管理责任的实施意见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关于印发《滕州市公共租赁住房配租管理实施细则（试行）》的通知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108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关于印发《滕州市行政处罚网上运行和电子监管系统管理试行办法》的通知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tabs>
                <w:tab w:val="left" w:pos="1035"/>
              </w:tabs>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关于进一步发挥工商行政管理职能优化市场环境的意见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tabs>
                <w:tab w:val="left" w:pos="1365"/>
              </w:tabs>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关于印发《滕州市城镇燃气管理办法》的通知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关于印发《滕州市乡村旅游发展扶持奖励办法》的通知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65</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5</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关于印发《滕州市建设工程规划批前管理暂行规定》的通知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66</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9</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关于印发《滕州市重点水库管理暂行办法》的通知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67</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11</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关于印发《滕州市引进三产服务业项目评审办法（试行）》的通知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68</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12</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关于印发《滕州市高铁新区招商项目评审办法（试行）》的通知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69</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18</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关于印发《滕州市引进工业项目评审办法（试行）》的通知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70</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21</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关于印发《滕州市农村宅基地管理办法》的通知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71</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31</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关于进一步加强防震减灾工作的实施意见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72</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38</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关于公布城镇土地收储与基准地价更新成果的通知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73</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43</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关于推进公共租赁住房和廉租住房并轨的实施意见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74</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53</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关于印发《关于国有土地上房屋征收范围内未经登记的建筑调查认定处理补充意见》的通知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75</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60</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关于推进集体土地范围内房屋登记工作的指导意见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76</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61</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关于印发《滕州市集体土地范围内房屋登记细则》的通知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77</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kern w:val="0"/>
                <w:sz w:val="24"/>
                <w:szCs w:val="24"/>
                <w:lang w:bidi="ar"/>
                <w14:textFill>
                  <w14:solidFill>
                    <w14:schemeClr w14:val="tx1"/>
                  </w14:solidFill>
                </w14:textFill>
              </w:rPr>
              <w:t>67</w:t>
            </w:r>
            <w:r>
              <w:rPr>
                <w:rFonts w:hint="eastAsia" w:ascii="仿宋_GB2312" w:hAnsi="宋体" w:eastAsia="仿宋_GB2312" w:cs="仿宋_GB2312"/>
                <w:color w:val="000000" w:themeColor="text1"/>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both"/>
              <w:outlineLvl w:val="9"/>
              <w:rPr>
                <w:rFonts w:hint="eastAsia" w:ascii="仿宋_GB2312" w:hAnsi="仿宋_GB2312" w:eastAsia="仿宋_GB2312" w:cs="仿宋_GB2312"/>
                <w:color w:val="000000" w:themeColor="text1"/>
                <w:spacing w:val="0"/>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关于印发《滕州市机动车停放管理暂行办法》的通知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78</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74</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关于加强企业管理创新促进转型升级的意见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79</w:t>
            </w:r>
          </w:p>
        </w:tc>
        <w:tc>
          <w:tcPr>
            <w:tcW w:w="2812" w:type="dxa"/>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宋体" w:eastAsia="仿宋_GB2312" w:cs="仿宋_GB2312"/>
                <w:color w:val="000000" w:themeColor="text1"/>
                <w:spacing w:val="0"/>
                <w:kern w:val="0"/>
                <w:sz w:val="24"/>
                <w:szCs w:val="24"/>
                <w:lang w:bidi="ar"/>
                <w14:textFill>
                  <w14:solidFill>
                    <w14:schemeClr w14:val="tx1"/>
                  </w14:solidFill>
                </w14:textFill>
              </w:rPr>
              <w:t>78</w:t>
            </w:r>
            <w:r>
              <w:rPr>
                <w:rFonts w:hint="eastAsia" w:ascii="仿宋_GB2312" w:hAnsi="宋体" w:eastAsia="仿宋_GB2312" w:cs="仿宋_GB2312"/>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关于印发《滕州市财政还贷周转金使用管理暂行办法》的通知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Cs/>
                <w:color w:val="000000" w:themeColor="text1"/>
                <w:spacing w:val="0"/>
                <w:sz w:val="24"/>
                <w:szCs w:val="24"/>
                <w14:textFill>
                  <w14:solidFill>
                    <w14:schemeClr w14:val="tx1"/>
                  </w14:solidFill>
                </w14:textFill>
              </w:rPr>
              <w:t>关于促进外贸稳定增长的实施意见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关于印发进一步加强生态保护工作的意见的通知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关于实施粮食生产能力提升“332211”工程的意见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关于印发《滕州市行政审地事项目管理办法》的通知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关于进一步做好建成燃煤锅炉取缔工作的通知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关于印发《滕州市中小</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企业</w:t>
            </w:r>
            <w:r>
              <w:rPr>
                <w:rFonts w:hint="eastAsia" w:ascii="仿宋_GB2312" w:hAnsi="仿宋_GB2312" w:eastAsia="仿宋_GB2312" w:cs="仿宋_GB2312"/>
                <w:color w:val="000000" w:themeColor="text1"/>
                <w:spacing w:val="0"/>
                <w:sz w:val="24"/>
                <w:szCs w:val="24"/>
                <w14:textFill>
                  <w14:solidFill>
                    <w14:schemeClr w14:val="tx1"/>
                  </w14:solidFill>
                </w14:textFill>
              </w:rPr>
              <w:t>公共服务平台运营管理暂行办法》的通知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关于积极利用财政金融政策促投资稳增长的意见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关于促进全市房地产市场平稳健康发展的意见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关于加快推进建筑产业现代化发展的指导意见（试行）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89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关于印发《加强环境保护工作的实施意见》的通知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关于新建房地产项目减免基础设施配套费的通知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关于进一步加快推进企业上市（挂牌）工作的意见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关于加快推动全市股份制改制工作的意见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关于推进“先证后照”改革加强事中事后监管的实施意见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滕政办发〔2002〕12号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关于大力发展绿色无公害蔬菜生产的意见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95</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2004</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28号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关于加强全市散装水泥专项资金征收和预算管理的通知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96</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2006</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13号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关于印发《滕州市下岗失业人员小额担保贷款实施办法》的通知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滕政办发〔2007〕74号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关于确保聘任制教师工资正常发放的通知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98</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2008</w:t>
            </w:r>
            <w:r>
              <w:rPr>
                <w:rFonts w:hint="eastAsia" w:ascii="仿宋_GB2312" w:hAnsi="仿宋_GB2312" w:eastAsia="仿宋_GB2312" w:cs="仿宋_GB2312"/>
                <w:b w:val="0"/>
                <w:bCs w:val="0"/>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38号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关于进一步加强地方建筑材料管理工作的通知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99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滕政办发〔2009〕157号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关于印发滕州市安全生产责任保险试点工作方案的通知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滕政办发〔2010〕103号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关于深化学校内部管理体制改革的通知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101</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滕政办发〔2010〕126号</w:t>
            </w:r>
          </w:p>
        </w:tc>
        <w:tc>
          <w:tcPr>
            <w:tcW w:w="10159"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关于印发《滕州市农村土地使用产权制度改革试点合作社审计办法》的通知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102</w:t>
            </w:r>
          </w:p>
        </w:tc>
        <w:tc>
          <w:tcPr>
            <w:tcW w:w="28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滕政办发〔2011〕120号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24"/>
                <w:szCs w:val="24"/>
                <w:vertAlign w:val="baseline"/>
                <w:lang w:val="en-US" w:eastAsia="zh-CN"/>
                <w14:textFill>
                  <w14:solidFill>
                    <w14:schemeClr w14:val="tx1"/>
                  </w14:solidFill>
                </w14:textFill>
              </w:rPr>
              <w:t>关于印发《滕州市煤矿安全生产工作约谈制度（试行）》的通知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关于印发《外地入滕建筑业企业管理办法》的通知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转发《市人社局、市财政局关于调整城镇基本医疗保险政策》的通知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关于完善老旧小区体育健身设施的通知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关于转发枣安发[2012]31号文件进一步加强道路交通安全工作的通知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关于提高城乡居民最低生活保障和五保供养标准的通知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关于开展土小企业（作坊）清理取缔活动的通知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109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关于转发枣安办发[2012]25号文件进一步加强水上和道路交通安全监管的通知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关于印发《滕州市市政基础设施工程质量监督管理办法》的通知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关于认真做好企业研发费用加计扣除工作的通知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关于加强布鲁氏菌病防控工作的通知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关于对土小企业及其他环境违法企业实施停限电的通知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关于进一步加强食品安全工作的通知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关于进一步加快发展玉米收获秸秆还田及经济作物机械化工作的意见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100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关于争取水污染防治中央预算内补助资金和集中支持资金办理污水管网建设手续等有关工作的通知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关于印发扶持国家火炬计划滕州机床产业基地发展办法的通知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2012</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印发《关于滕州市廉租住房保障有关问题的补充规定》的通知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119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2</w:t>
            </w:r>
            <w:r>
              <w:rPr>
                <w:rFonts w:hint="eastAsia" w:ascii="仿宋_GB2312" w:hAnsi="仿宋_GB2312" w:eastAsia="仿宋_GB2312" w:cs="仿宋_GB2312"/>
                <w:color w:val="000000" w:themeColor="text1"/>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关于印发《滕州市医疗纠纷处置办法》的通知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关于建立安全生产网格化监管体系的实施意见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21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关于印发《滕州市农民工参加社会保险的意见（试行）》的通知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关于推动绿色建筑发展的实施意见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关于清理企业违法建筑完善确权手续的意见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66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关于发布《滕州市城乡居民家庭经济状况核对和认定事实细则（试行）》的通知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关于开展滕州市系列地图修编认刊的通知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79</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关于开展全市危险化学品运输车辆事故综合应急救援演练工作的通知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关于提高城乡居民最低生活保障保准的通知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关于加快推进全市储煤场综合整治工作的通知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129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111</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关于进一步加强三上企业入库统计工作的通知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122</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关于做好城乡住户调查一体化改革工作的通知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2013</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154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关于开展乡村旅游放厕改厕工作的通知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132</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12</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关于印发《滕州市畜禽养殖布局规划方案》的通知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133</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20</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关于进一步加强H7N9禽流感防控工作的通知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134</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33</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u w:val="none" w:color="000000"/>
                <w14:textFill>
                  <w14:solidFill>
                    <w14:schemeClr w14:val="tx1"/>
                  </w14:solidFill>
                </w14:textFill>
              </w:rPr>
              <w:t>关于进一步加强突发事件应急处置工作的通知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135</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37</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关于印发滕州市黄标车提前淘汰补贴实施办法的通知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136</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50</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关于加快推进“i—Tengzhou”无线宽带免费体验区建设的通知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137</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73</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Cs/>
                <w:snapToGrid w:val="0"/>
                <w:color w:val="000000" w:themeColor="text1"/>
                <w:spacing w:val="0"/>
                <w:kern w:val="0"/>
                <w:sz w:val="24"/>
                <w:szCs w:val="24"/>
                <w14:textFill>
                  <w14:solidFill>
                    <w14:schemeClr w14:val="tx1"/>
                  </w14:solidFill>
                </w14:textFill>
              </w:rPr>
              <w:t>关于转发《枣庄市人民政府关于加强和改进最低生活保障工作的实施意见》的通知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138</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75</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bCs/>
                <w:snapToGrid w:val="0"/>
                <w:color w:val="000000" w:themeColor="text1"/>
                <w:spacing w:val="0"/>
                <w:kern w:val="0"/>
                <w:sz w:val="24"/>
                <w:szCs w:val="24"/>
                <w14:textFill>
                  <w14:solidFill>
                    <w14:schemeClr w14:val="tx1"/>
                  </w14:solidFill>
                </w14:textFill>
              </w:rPr>
              <w:t>关于开展全市非融资性担保公司清理规范工作的通知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139</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97</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关于认真贯彻落实《企业信息公示暂行条例》的通知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140</w:t>
            </w:r>
          </w:p>
        </w:tc>
        <w:tc>
          <w:tcPr>
            <w:tcW w:w="2812" w:type="dxa"/>
            <w:vAlign w:val="center"/>
          </w:tcPr>
          <w:p>
            <w:pPr>
              <w:keepNext w:val="0"/>
              <w:keepLines w:val="0"/>
              <w:pageBreakBefore w:val="0"/>
              <w:widowControl/>
              <w:kinsoku/>
              <w:wordWrap/>
              <w:overflowPunct/>
              <w:topLinePunct w:val="0"/>
              <w:autoSpaceDE/>
              <w:autoSpaceDN/>
              <w:bidi w:val="0"/>
              <w:spacing w:line="380" w:lineRule="exact"/>
              <w:ind w:left="0" w:leftChars="0" w:right="0" w:rightChars="0" w:firstLine="0" w:firstLineChars="0"/>
              <w:jc w:val="both"/>
              <w:textAlignment w:val="center"/>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2014</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snapToGrid w:val="0"/>
                <w:color w:val="000000" w:themeColor="text1"/>
                <w:spacing w:val="0"/>
                <w:kern w:val="0"/>
                <w:sz w:val="24"/>
                <w:szCs w:val="24"/>
                <w:lang w:bidi="ar"/>
                <w14:textFill>
                  <w14:solidFill>
                    <w14:schemeClr w14:val="tx1"/>
                  </w14:solidFill>
                </w14:textFill>
              </w:rPr>
              <w:t>112</w:t>
            </w:r>
            <w:r>
              <w:rPr>
                <w:rFonts w:hint="eastAsia" w:ascii="仿宋_GB2312" w:hAnsi="仿宋_GB2312" w:eastAsia="仿宋_GB2312" w:cs="仿宋_GB2312"/>
                <w:snapToGrid w:val="0"/>
                <w:color w:val="000000" w:themeColor="text1"/>
                <w:spacing w:val="0"/>
                <w:kern w:val="0"/>
                <w:sz w:val="24"/>
                <w:szCs w:val="24"/>
                <w:lang w:eastAsia="zh-CN" w:bidi="ar"/>
                <w14:textFill>
                  <w14:solidFill>
                    <w14:schemeClr w14:val="tx1"/>
                  </w14:solidFill>
                </w14:textFill>
              </w:rPr>
              <w:t>号</w:t>
            </w:r>
          </w:p>
        </w:tc>
        <w:tc>
          <w:tcPr>
            <w:tcW w:w="10159" w:type="dxa"/>
            <w:vAlign w:val="center"/>
          </w:tcPr>
          <w:p>
            <w:pPr>
              <w:keepNext w:val="0"/>
              <w:keepLines w:val="0"/>
              <w:pageBreakBefore w:val="0"/>
              <w:kinsoku/>
              <w:wordWrap/>
              <w:overflowPunct/>
              <w:topLinePunct w:val="0"/>
              <w:autoSpaceDE/>
              <w:autoSpaceDN/>
              <w:bidi w:val="0"/>
              <w:spacing w:line="380" w:lineRule="exact"/>
              <w:ind w:left="0" w:leftChars="0" w:right="0" w:rightChars="0" w:firstLine="0" w:firstLineChars="0"/>
              <w:jc w:val="left"/>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snapToGrid w:val="0"/>
                <w:color w:val="000000" w:themeColor="text1"/>
                <w:spacing w:val="0"/>
                <w:kern w:val="0"/>
                <w:sz w:val="24"/>
                <w:szCs w:val="24"/>
                <w14:textFill>
                  <w14:solidFill>
                    <w14:schemeClr w14:val="tx1"/>
                  </w14:solidFill>
                </w14:textFill>
              </w:rPr>
              <w:t>关于进一步加强大气污染综合治理工作的通知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33</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关于转发《枣庄市人民政府关于切实加强农村居地地震安全工作的意见》的通知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转发《住房和城乡建设部〈城镇污水排入排水管网许可管理办法〉》的通知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58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关于深入开展安全生产宣传“五进”活动的实施意见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144</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85</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关于印发《滕州市户籍制度改革实施意见》（试行）的通知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145</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90</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关于提高农村居民最低生活保障和农村五保供养标准的通知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146</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106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关于印发《滕州市城乡环卫一体化市细化作业考核办法》的通知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147</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108</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关于治理规范旅游市场秩序的通知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148</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关于印发《滕州市住宅供热室温监测及退费规定》（试行）的通知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149</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2015</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127</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关于印发《滕州市优秀企业家评选管理办法（试行）》的通知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150</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46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关于做好农村电网改造工作的意见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151</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86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sz w:val="24"/>
                <w:szCs w:val="24"/>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关于进一步加强集中供热工程管理的通知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152</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114</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转发人社局、财政局《关于加强各镇街和部分非全额事业单位社会保险费征缴》的通知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153</w:t>
            </w:r>
          </w:p>
        </w:tc>
        <w:tc>
          <w:tcPr>
            <w:tcW w:w="2812" w:type="dxa"/>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滕政办发〔</w:t>
            </w:r>
            <w:r>
              <w:rPr>
                <w:rFonts w:hint="eastAsia" w:ascii="仿宋_GB2312" w:hAnsi="仿宋_GB2312" w:eastAsia="仿宋_GB2312" w:cs="仿宋_GB2312"/>
                <w:color w:val="000000" w:themeColor="text1"/>
                <w:spacing w:val="0"/>
                <w:sz w:val="24"/>
                <w:szCs w:val="24"/>
                <w:vertAlign w:val="baseline"/>
                <w:lang w:val="en-US" w:eastAsia="zh-CN"/>
                <w14:textFill>
                  <w14:solidFill>
                    <w14:schemeClr w14:val="tx1"/>
                  </w14:solidFill>
                </w14:textFill>
              </w:rPr>
              <w:t>2016</w:t>
            </w:r>
            <w:r>
              <w:rPr>
                <w:rFonts w:hint="eastAsia" w:ascii="仿宋_GB2312" w:hAnsi="仿宋_GB2312" w:eastAsia="仿宋_GB2312" w:cs="仿宋_GB2312"/>
                <w:color w:val="000000" w:themeColor="text1"/>
                <w:spacing w:val="0"/>
                <w:sz w:val="24"/>
                <w:szCs w:val="24"/>
                <w:vertAlign w:val="baseline"/>
                <w:lang w:eastAsia="zh-CN"/>
                <w14:textFill>
                  <w14:solidFill>
                    <w14:schemeClr w14:val="tx1"/>
                  </w14:solidFill>
                </w14:textFill>
              </w:rPr>
              <w:t>〕</w:t>
            </w:r>
            <w:r>
              <w:rPr>
                <w:rFonts w:hint="eastAsia" w:ascii="仿宋_GB2312" w:hAnsi="仿宋_GB2312" w:eastAsia="仿宋_GB2312" w:cs="仿宋_GB2312"/>
                <w:color w:val="000000" w:themeColor="text1"/>
                <w:spacing w:val="0"/>
                <w:sz w:val="24"/>
                <w:szCs w:val="24"/>
                <w14:textFill>
                  <w14:solidFill>
                    <w14:schemeClr w14:val="tx1"/>
                  </w14:solidFill>
                </w14:textFill>
              </w:rPr>
              <w:t>136</w:t>
            </w:r>
            <w:r>
              <w:rPr>
                <w:rFonts w:hint="eastAsia" w:ascii="仿宋_GB2312" w:hAnsi="仿宋_GB2312" w:eastAsia="仿宋_GB2312" w:cs="仿宋_GB2312"/>
                <w:color w:val="000000" w:themeColor="text1"/>
                <w:spacing w:val="0"/>
                <w:sz w:val="24"/>
                <w:szCs w:val="24"/>
                <w:lang w:eastAsia="zh-CN"/>
                <w14:textFill>
                  <w14:solidFill>
                    <w14:schemeClr w14:val="tx1"/>
                  </w14:solidFill>
                </w14:textFill>
              </w:rPr>
              <w:t>号</w:t>
            </w:r>
          </w:p>
        </w:tc>
        <w:tc>
          <w:tcPr>
            <w:tcW w:w="10159" w:type="dxa"/>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spacing w:val="0"/>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24"/>
                <w:szCs w:val="24"/>
                <w14:textFill>
                  <w14:solidFill>
                    <w14:schemeClr w14:val="tx1"/>
                  </w14:solidFill>
                </w14:textFill>
              </w:rPr>
              <w:t>关于进一步做好永久基本农田划定工作的通知</w:t>
            </w:r>
          </w:p>
        </w:tc>
      </w:tr>
    </w:tbl>
    <w:p>
      <w:pPr>
        <w:rPr>
          <w:rFonts w:hint="eastAsia" w:ascii="黑体" w:hAnsi="黑体" w:eastAsia="黑体" w:cs="黑体"/>
          <w:color w:val="000000" w:themeColor="text1"/>
          <w:sz w:val="32"/>
          <w:szCs w:val="32"/>
          <w:lang w:val="en-US" w:eastAsia="zh-CN"/>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sectPr>
          <w:pgSz w:w="16838" w:h="11906" w:orient="landscape"/>
          <w:pgMar w:top="1701" w:right="1701" w:bottom="1701" w:left="1701" w:header="851" w:footer="992" w:gutter="0"/>
          <w:pgNumType w:fmt="numberInDash"/>
          <w:cols w:space="0" w:num="1"/>
          <w:rtlGutter w:val="0"/>
          <w:docGrid w:type="lines" w:linePitch="314" w:charSpace="0"/>
        </w:sectPr>
      </w:pPr>
    </w:p>
    <w:p>
      <w:pPr>
        <w:jc w:val="both"/>
        <w:rPr>
          <w:rFonts w:hint="eastAsia" w:ascii="仿宋_GB2312" w:hAnsi="仿宋_GB2312" w:eastAsia="仿宋_GB2312" w:cs="仿宋_GB2312"/>
          <w:color w:val="000000" w:themeColor="text1"/>
          <w:kern w:val="0"/>
          <w:sz w:val="32"/>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24"/>
          <w:lang w:val="en-US" w:eastAsia="zh-CN" w:bidi="ar-SA"/>
          <w14:textFill>
            <w14:solidFill>
              <w14:schemeClr w14:val="tx1"/>
            </w14:solidFill>
          </w14:textFill>
        </w:rPr>
        <w:t>（此页无正文）</w:t>
      </w: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jc w:val="both"/>
        <w:rPr>
          <w:rFonts w:hint="eastAsia" w:ascii="黑体" w:hAnsi="黑体" w:eastAsia="黑体" w:cs="黑体"/>
          <w:color w:val="000000" w:themeColor="text1"/>
          <w:kern w:val="0"/>
          <w:sz w:val="32"/>
          <w:szCs w:val="24"/>
          <w:lang w:val="en-US" w:eastAsia="zh-CN" w:bidi="ar-SA"/>
          <w14:textFill>
            <w14:solidFill>
              <w14:schemeClr w14:val="tx1"/>
            </w14:solidFill>
          </w14:textFill>
        </w:rPr>
      </w:pPr>
    </w:p>
    <w:p>
      <w:pPr>
        <w:rPr>
          <w:rFonts w:hint="eastAsia" w:eastAsia="仿宋_GB2312"/>
          <w:color w:val="000000" w:themeColor="text1"/>
          <w:sz w:val="32"/>
          <w:szCs w:val="32"/>
          <w14:textFill>
            <w14:solidFill>
              <w14:schemeClr w14:val="tx1"/>
            </w14:solidFill>
          </w14:textFill>
        </w:rPr>
      </w:pPr>
    </w:p>
    <w:p>
      <w:pPr>
        <w:spacing w:line="400" w:lineRule="exact"/>
        <w:jc w:val="right"/>
        <w:rPr>
          <w:rFonts w:hint="eastAsia" w:ascii="仿宋_GB2312" w:hAnsi="Arial" w:eastAsia="仿宋_GB2312" w:cs="Arial"/>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1" name="直线 8"/>
                <wp:cNvGraphicFramePr/>
                <a:graphic xmlns:a="http://schemas.openxmlformats.org/drawingml/2006/main">
                  <a:graphicData uri="http://schemas.microsoft.com/office/word/2010/wordprocessingShape">
                    <wps:wsp>
                      <wps:cNvCnPr/>
                      <wps:spPr>
                        <a:xfrm>
                          <a:off x="0" y="0"/>
                          <a:ext cx="5471795"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8" o:spid="_x0000_s1026" o:spt="20" style="position:absolute;left:0pt;margin-top:13pt;height:2pt;width:430.85pt;mso-position-horizontal:center;z-index:251665408;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DXrjPz&#10;1AAAAAYBAAAPAAAAAAAAAAEAIAAAADgAAABkcnMvZG93bnJldi54bWxQSwECFAAUAAAACACHTuJA&#10;woziBdYBAACVAwAADgAAAAAAAAABACAAAAA5AQAAZHJzL2Uyb0RvYy54bWxQSwUGAAAAAAYABgBZ&#10;AQAAgQUAAAAA&#10;">
                <v:fill on="f" focussize="0,0"/>
                <v:stroke weight="1.5pt" color="#000000" joinstyle="round"/>
                <v:imagedata o:title=""/>
                <o:lock v:ext="edit" aspectratio="f"/>
              </v:line>
            </w:pict>
          </mc:Fallback>
        </mc:AlternateContent>
      </w:r>
    </w:p>
    <w:p>
      <w:pPr>
        <w:spacing w:line="4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 xml:space="preserve"> 抄送：</w:t>
      </w:r>
      <w:r>
        <w:rPr>
          <w:rFonts w:hint="eastAsia" w:ascii="仿宋_GB2312" w:eastAsia="仿宋_GB2312"/>
          <w:color w:val="000000" w:themeColor="text1"/>
          <w:sz w:val="28"/>
          <w:szCs w:val="28"/>
          <w14:textFill>
            <w14:solidFill>
              <w14:schemeClr w14:val="tx1"/>
            </w14:solidFill>
          </w14:textFill>
        </w:rPr>
        <w:t xml:space="preserve">市委办公室，市人大常委会办公室，市政协办公室，市纪委 </w:t>
      </w:r>
    </w:p>
    <w:p>
      <w:pPr>
        <w:spacing w:line="4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办公室，市法院，市检察院，市人武部。</w:t>
      </w:r>
    </w:p>
    <w:p>
      <w:pPr>
        <w:spacing w:line="2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align>center</wp:align>
                </wp:positionH>
                <wp:positionV relativeFrom="paragraph">
                  <wp:posOffset>38735</wp:posOffset>
                </wp:positionV>
                <wp:extent cx="5471795" cy="0"/>
                <wp:effectExtent l="0" t="0" r="0" b="0"/>
                <wp:wrapNone/>
                <wp:docPr id="5" name="直线 9"/>
                <wp:cNvGraphicFramePr/>
                <a:graphic xmlns:a="http://schemas.openxmlformats.org/drawingml/2006/main">
                  <a:graphicData uri="http://schemas.microsoft.com/office/word/2010/wordprocessingShape">
                    <wps:wsp>
                      <wps:cNvCnPr/>
                      <wps:spPr>
                        <a:xfrm>
                          <a:off x="0" y="0"/>
                          <a:ext cx="5471795"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9" o:spid="_x0000_s1026" o:spt="20" style="position:absolute;left:0pt;margin-top:3.05pt;height:0pt;width:430.85pt;mso-position-horizontal:center;z-index:251666432;mso-width-relative:page;mso-height-relative:page;" filled="f" stroked="t" coordsize="21600,21600" o:gfxdata="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JuW4IPSAAAABAEAAA8A&#10;AAAAAAAAAQAgAAAAOAAAAGRycy9kb3ducmV2LnhtbFBLAQIUABQAAAAIAIdO4kD1UkHLzgEAAJAD&#10;AAAOAAAAAAAAAAEAIAAAADcBAABkcnMvZTJvRG9jLnhtbFBLBQYAAAAABgAGAFkBAAB3BQAAAAA=&#10;">
                <v:fill on="f" focussize="0,0"/>
                <v:stroke color="#000000" joinstyle="round"/>
                <v:imagedata o:title=""/>
                <o:lock v:ext="edit" aspectratio="f"/>
              </v:line>
            </w:pict>
          </mc:Fallback>
        </mc:AlternateContent>
      </w:r>
      <w:r>
        <w:rPr>
          <w:rFonts w:hint="eastAsia" w:ascii="仿宋_GB2312" w:eastAsia="仿宋_GB2312"/>
          <w:color w:val="000000" w:themeColor="text1"/>
          <w:sz w:val="28"/>
          <w:szCs w:val="28"/>
          <w14:textFill>
            <w14:solidFill>
              <w14:schemeClr w14:val="tx1"/>
            </w14:solidFill>
          </w14:textFill>
        </w:rPr>
        <w:t xml:space="preserve">    </w:t>
      </w:r>
    </w:p>
    <w:p>
      <w:pPr>
        <w:spacing w:line="400" w:lineRule="exact"/>
        <w:rPr>
          <w:rFonts w:hint="eastAsia" w:ascii="Times New Roman"/>
          <w:color w:val="000000" w:themeColor="text1"/>
          <w:szCs w:val="21"/>
          <w:lang w:eastAsia="zh-CN"/>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align>center</wp:align>
                </wp:positionH>
                <wp:positionV relativeFrom="paragraph">
                  <wp:posOffset>310515</wp:posOffset>
                </wp:positionV>
                <wp:extent cx="5471795" cy="7620"/>
                <wp:effectExtent l="0" t="0" r="0" b="0"/>
                <wp:wrapNone/>
                <wp:docPr id="4" name="直线 10"/>
                <wp:cNvGraphicFramePr/>
                <a:graphic xmlns:a="http://schemas.openxmlformats.org/drawingml/2006/main">
                  <a:graphicData uri="http://schemas.microsoft.com/office/word/2010/wordprocessingShape">
                    <wps:wsp>
                      <wps:cNvCnPr/>
                      <wps:spPr>
                        <a:xfrm>
                          <a:off x="0" y="0"/>
                          <a:ext cx="5471795"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10" o:spid="_x0000_s1026" o:spt="20" style="position:absolute;left:0pt;margin-top:24.45pt;height:0.6pt;width:430.85pt;mso-position-horizontal:center;z-index:251667456;mso-width-relative:page;mso-height-relative:page;" filled="f" stroked="t" coordsize="21600,21600" o:gfxdata="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CnYjE&#10;1QAAAAYBAAAPAAAAAAAAAAEAIAAAADgAAABkcnMvZG93bnJldi54bWxQSwECFAAUAAAACACHTuJA&#10;PBcxpdUBAACVAwAADgAAAAAAAAABACAAAAA6AQAAZHJzL2Uyb0RvYy54bWxQSwUGAAAAAAYABgBZ&#10;AQAAgQUAAAAA&#10;">
                <v:fill on="f" focussize="0,0"/>
                <v:stroke weight="1.5pt" color="#000000" joinstyle="round"/>
                <v:imagedata o:title=""/>
                <o:lock v:ext="edit" aspectratio="f"/>
              </v:line>
            </w:pict>
          </mc:Fallback>
        </mc:AlternateContent>
      </w:r>
      <w:r>
        <w:rPr>
          <w:rFonts w:hint="eastAsia" w:ascii="仿宋_GB2312" w:eastAsia="仿宋_GB2312"/>
          <w:color w:val="000000" w:themeColor="text1"/>
          <w:sz w:val="28"/>
          <w:szCs w:val="28"/>
          <w14:textFill>
            <w14:solidFill>
              <w14:schemeClr w14:val="tx1"/>
            </w14:solidFill>
          </w14:textFill>
        </w:rPr>
        <w:t xml:space="preserve">滕州市人民政府办公室                    </w:t>
      </w:r>
      <w:r>
        <w:rPr>
          <w:rFonts w:hint="eastAsia" w:ascii="仿宋_GB2312" w:eastAsia="仿宋_GB2312"/>
          <w:color w:val="000000" w:themeColor="text1"/>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 xml:space="preserve"> 201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8</w:t>
      </w:r>
      <w:r>
        <w:rPr>
          <w:rFonts w:hint="eastAsia" w:ascii="仿宋_GB2312" w:hAnsi="仿宋_GB2312" w:eastAsia="仿宋_GB2312" w:cs="仿宋_GB2312"/>
          <w:color w:val="000000" w:themeColor="text1"/>
          <w:sz w:val="28"/>
          <w:szCs w:val="28"/>
          <w14:textFill>
            <w14:solidFill>
              <w14:schemeClr w14:val="tx1"/>
            </w14:solidFill>
          </w14:textFill>
        </w:rPr>
        <w:t>年</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14:textFill>
            <w14:solidFill>
              <w14:schemeClr w14:val="tx1"/>
            </w14:solidFill>
          </w14:textFill>
        </w:rPr>
        <w:t>月</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w:t>
      </w:r>
      <w:r>
        <w:rPr>
          <w:rFonts w:hint="eastAsia" w:ascii="仿宋_GB2312" w:hAnsi="仿宋_GB2312" w:eastAsia="仿宋_GB2312" w:cs="仿宋_GB2312"/>
          <w:color w:val="000000" w:themeColor="text1"/>
          <w:sz w:val="28"/>
          <w:szCs w:val="28"/>
          <w14:textFill>
            <w14:solidFill>
              <w14:schemeClr w14:val="tx1"/>
            </w14:solidFill>
          </w14:textFill>
        </w:rPr>
        <w:t>日印发</w:t>
      </w:r>
    </w:p>
    <w:p>
      <w:pPr>
        <w:widowControl/>
        <w:spacing w:line="200" w:lineRule="exact"/>
        <w:ind w:firstLine="400"/>
        <w:rPr>
          <w:rFonts w:hint="eastAsia" w:ascii="黑体" w:hAnsi="黑体" w:eastAsia="黑体" w:cs="黑体"/>
          <w:color w:val="000000" w:themeColor="text1"/>
          <w:kern w:val="0"/>
          <w:sz w:val="32"/>
          <w:szCs w:val="24"/>
          <w:lang w:val="en-US" w:eastAsia="zh-CN" w:bidi="ar-SA"/>
          <w14:textFill>
            <w14:solidFill>
              <w14:schemeClr w14:val="tx1"/>
            </w14:solidFill>
          </w14:textFill>
        </w:rPr>
      </w:pPr>
    </w:p>
    <w:sectPr>
      <w:pgSz w:w="11906" w:h="16838"/>
      <w:pgMar w:top="1701" w:right="1701" w:bottom="1701" w:left="1701" w:header="851" w:footer="992" w:gutter="0"/>
      <w:pgNumType w:fmt="numberInDash"/>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7"/>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91866"/>
    <w:rsid w:val="02510F0F"/>
    <w:rsid w:val="027C7D5E"/>
    <w:rsid w:val="04907F83"/>
    <w:rsid w:val="04E95298"/>
    <w:rsid w:val="052F6C97"/>
    <w:rsid w:val="054E37FD"/>
    <w:rsid w:val="057C6C1C"/>
    <w:rsid w:val="057D2664"/>
    <w:rsid w:val="058904E7"/>
    <w:rsid w:val="06B2184E"/>
    <w:rsid w:val="06DD1D44"/>
    <w:rsid w:val="07830157"/>
    <w:rsid w:val="083B582D"/>
    <w:rsid w:val="08AF6268"/>
    <w:rsid w:val="08C83B59"/>
    <w:rsid w:val="08E145A1"/>
    <w:rsid w:val="08FB09CC"/>
    <w:rsid w:val="09DE4AAC"/>
    <w:rsid w:val="0CF320BB"/>
    <w:rsid w:val="0D423260"/>
    <w:rsid w:val="0D95651C"/>
    <w:rsid w:val="0DD1548A"/>
    <w:rsid w:val="0E563202"/>
    <w:rsid w:val="0EB5514D"/>
    <w:rsid w:val="0F540AB5"/>
    <w:rsid w:val="12140A6C"/>
    <w:rsid w:val="123768D4"/>
    <w:rsid w:val="132321E0"/>
    <w:rsid w:val="132A779D"/>
    <w:rsid w:val="132B64D3"/>
    <w:rsid w:val="13AF0F0E"/>
    <w:rsid w:val="142F0991"/>
    <w:rsid w:val="144633D1"/>
    <w:rsid w:val="14534BA9"/>
    <w:rsid w:val="1458224C"/>
    <w:rsid w:val="148C4975"/>
    <w:rsid w:val="163D0E7A"/>
    <w:rsid w:val="17F33ABC"/>
    <w:rsid w:val="185D454D"/>
    <w:rsid w:val="18F5115F"/>
    <w:rsid w:val="192E1B4E"/>
    <w:rsid w:val="19B44F81"/>
    <w:rsid w:val="1A052555"/>
    <w:rsid w:val="1A3713A8"/>
    <w:rsid w:val="1ABD39C7"/>
    <w:rsid w:val="1AFA678A"/>
    <w:rsid w:val="1B191C3D"/>
    <w:rsid w:val="1B4C38E9"/>
    <w:rsid w:val="1F5C45E5"/>
    <w:rsid w:val="1FAB649E"/>
    <w:rsid w:val="2294207B"/>
    <w:rsid w:val="22FD05B0"/>
    <w:rsid w:val="23740C9B"/>
    <w:rsid w:val="24004330"/>
    <w:rsid w:val="241A5075"/>
    <w:rsid w:val="242176FA"/>
    <w:rsid w:val="24BF4C13"/>
    <w:rsid w:val="259E7FC7"/>
    <w:rsid w:val="265634CF"/>
    <w:rsid w:val="265A0EC8"/>
    <w:rsid w:val="281974F1"/>
    <w:rsid w:val="284E4A9E"/>
    <w:rsid w:val="28C2141B"/>
    <w:rsid w:val="29FB055F"/>
    <w:rsid w:val="2C6162A3"/>
    <w:rsid w:val="2DFA549F"/>
    <w:rsid w:val="2EE67833"/>
    <w:rsid w:val="2F3C69F6"/>
    <w:rsid w:val="3050754B"/>
    <w:rsid w:val="30A36BD2"/>
    <w:rsid w:val="3255384B"/>
    <w:rsid w:val="325717BE"/>
    <w:rsid w:val="34275837"/>
    <w:rsid w:val="34753CD7"/>
    <w:rsid w:val="34780435"/>
    <w:rsid w:val="34BF0124"/>
    <w:rsid w:val="3532399F"/>
    <w:rsid w:val="357E42BE"/>
    <w:rsid w:val="35C611FF"/>
    <w:rsid w:val="35EA0015"/>
    <w:rsid w:val="36923147"/>
    <w:rsid w:val="36B15D6D"/>
    <w:rsid w:val="37445754"/>
    <w:rsid w:val="37524156"/>
    <w:rsid w:val="37C6351D"/>
    <w:rsid w:val="384B335E"/>
    <w:rsid w:val="39593F5A"/>
    <w:rsid w:val="3A413706"/>
    <w:rsid w:val="3AA23A8B"/>
    <w:rsid w:val="3B7C21AD"/>
    <w:rsid w:val="3BFB6D39"/>
    <w:rsid w:val="3C792771"/>
    <w:rsid w:val="3CAF293E"/>
    <w:rsid w:val="3D3A26D6"/>
    <w:rsid w:val="3D466F3D"/>
    <w:rsid w:val="400C5A01"/>
    <w:rsid w:val="40351F56"/>
    <w:rsid w:val="404266B4"/>
    <w:rsid w:val="40664A5A"/>
    <w:rsid w:val="42B62C3A"/>
    <w:rsid w:val="42CA5855"/>
    <w:rsid w:val="430B1F54"/>
    <w:rsid w:val="4326125F"/>
    <w:rsid w:val="436B386B"/>
    <w:rsid w:val="451A6DA5"/>
    <w:rsid w:val="45A936EE"/>
    <w:rsid w:val="4645151A"/>
    <w:rsid w:val="471A49F5"/>
    <w:rsid w:val="47590650"/>
    <w:rsid w:val="47B016BC"/>
    <w:rsid w:val="48C9378D"/>
    <w:rsid w:val="49A01D89"/>
    <w:rsid w:val="4A5515A4"/>
    <w:rsid w:val="4BBB3813"/>
    <w:rsid w:val="4BC365A9"/>
    <w:rsid w:val="4BCF6700"/>
    <w:rsid w:val="4C79015E"/>
    <w:rsid w:val="4D782FFB"/>
    <w:rsid w:val="4E8515F3"/>
    <w:rsid w:val="4EBD3A79"/>
    <w:rsid w:val="4EDD1AA2"/>
    <w:rsid w:val="4FCA2C8D"/>
    <w:rsid w:val="51D24744"/>
    <w:rsid w:val="5248748C"/>
    <w:rsid w:val="526237EF"/>
    <w:rsid w:val="539B5F13"/>
    <w:rsid w:val="54186B10"/>
    <w:rsid w:val="542E3404"/>
    <w:rsid w:val="557C15D7"/>
    <w:rsid w:val="55B84F7E"/>
    <w:rsid w:val="566E329C"/>
    <w:rsid w:val="568750C7"/>
    <w:rsid w:val="56981F9E"/>
    <w:rsid w:val="56B63828"/>
    <w:rsid w:val="56DF3A16"/>
    <w:rsid w:val="596C4F76"/>
    <w:rsid w:val="597A7AD0"/>
    <w:rsid w:val="59FF2DAB"/>
    <w:rsid w:val="5B1D3866"/>
    <w:rsid w:val="5BCC1054"/>
    <w:rsid w:val="5C5F599C"/>
    <w:rsid w:val="5C622378"/>
    <w:rsid w:val="5CC41C59"/>
    <w:rsid w:val="5CF4653A"/>
    <w:rsid w:val="5D2C5D7B"/>
    <w:rsid w:val="5D6F70B3"/>
    <w:rsid w:val="5ECC4C0C"/>
    <w:rsid w:val="5ED2272F"/>
    <w:rsid w:val="5ED714B4"/>
    <w:rsid w:val="5F0D7436"/>
    <w:rsid w:val="5F383CA7"/>
    <w:rsid w:val="5F5D6AFE"/>
    <w:rsid w:val="5FC4615F"/>
    <w:rsid w:val="5FE17C47"/>
    <w:rsid w:val="605F2047"/>
    <w:rsid w:val="609D30D7"/>
    <w:rsid w:val="61363ED9"/>
    <w:rsid w:val="626E78B9"/>
    <w:rsid w:val="62E821A7"/>
    <w:rsid w:val="65322FB5"/>
    <w:rsid w:val="66C11156"/>
    <w:rsid w:val="66F13C1F"/>
    <w:rsid w:val="670607C5"/>
    <w:rsid w:val="6770623D"/>
    <w:rsid w:val="67A80B94"/>
    <w:rsid w:val="683C19BB"/>
    <w:rsid w:val="68F608C3"/>
    <w:rsid w:val="69932E56"/>
    <w:rsid w:val="6A992C18"/>
    <w:rsid w:val="6AA054FD"/>
    <w:rsid w:val="6ACA2B53"/>
    <w:rsid w:val="6AF600CE"/>
    <w:rsid w:val="6B0242C5"/>
    <w:rsid w:val="6B204500"/>
    <w:rsid w:val="6B802DE9"/>
    <w:rsid w:val="6C874E30"/>
    <w:rsid w:val="6C920EDB"/>
    <w:rsid w:val="6CEF51F2"/>
    <w:rsid w:val="6D1761A0"/>
    <w:rsid w:val="6D797975"/>
    <w:rsid w:val="6DE76E8D"/>
    <w:rsid w:val="6E893357"/>
    <w:rsid w:val="70D74C46"/>
    <w:rsid w:val="716B5FEC"/>
    <w:rsid w:val="71992277"/>
    <w:rsid w:val="72231CF5"/>
    <w:rsid w:val="723F7205"/>
    <w:rsid w:val="729068AD"/>
    <w:rsid w:val="73413D25"/>
    <w:rsid w:val="736C51C3"/>
    <w:rsid w:val="73D56444"/>
    <w:rsid w:val="7460437D"/>
    <w:rsid w:val="74781939"/>
    <w:rsid w:val="74920C57"/>
    <w:rsid w:val="74A3577B"/>
    <w:rsid w:val="74AD30C2"/>
    <w:rsid w:val="74F23720"/>
    <w:rsid w:val="75DA60AA"/>
    <w:rsid w:val="779B08DF"/>
    <w:rsid w:val="77A72107"/>
    <w:rsid w:val="78533265"/>
    <w:rsid w:val="78BD1225"/>
    <w:rsid w:val="78F73AE1"/>
    <w:rsid w:val="79322817"/>
    <w:rsid w:val="79E77382"/>
    <w:rsid w:val="7A0732B6"/>
    <w:rsid w:val="7A4D2BD2"/>
    <w:rsid w:val="7AFC646E"/>
    <w:rsid w:val="7C050FE1"/>
    <w:rsid w:val="7C6B3D98"/>
    <w:rsid w:val="7CCF36F7"/>
    <w:rsid w:val="7D935F91"/>
    <w:rsid w:val="7DD664A8"/>
    <w:rsid w:val="7E8E7206"/>
    <w:rsid w:val="7EEE7747"/>
    <w:rsid w:val="7FE23466"/>
    <w:rsid w:val="FF3991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link w:val="9"/>
    <w:semiHidden/>
    <w:qFormat/>
    <w:uiPriority w:val="0"/>
    <w:rPr>
      <w:kern w:val="0"/>
      <w:sz w:val="20"/>
      <w:szCs w:val="20"/>
    </w:rPr>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 Char Char Char Char"/>
    <w:basedOn w:val="1"/>
    <w:link w:val="8"/>
    <w:qFormat/>
    <w:uiPriority w:val="0"/>
    <w:pPr>
      <w:widowControl/>
      <w:spacing w:after="160" w:line="240" w:lineRule="exact"/>
      <w:ind w:firstLine="980" w:firstLineChars="350"/>
      <w:jc w:val="left"/>
    </w:pPr>
    <w:rPr>
      <w:kern w:val="0"/>
      <w:sz w:val="20"/>
      <w:szCs w:val="20"/>
    </w:rPr>
  </w:style>
  <w:style w:type="character" w:styleId="10">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爱新觉罗-琛</cp:lastModifiedBy>
  <cp:lastPrinted>2018-01-09T14:41:00Z</cp:lastPrinted>
  <dcterms:modified xsi:type="dcterms:W3CDTF">2023-09-12T14:47:16Z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